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58" w:rsidRPr="0049436A" w:rsidRDefault="000D5958" w:rsidP="000D5958">
      <w:pPr>
        <w:jc w:val="center"/>
        <w:rPr>
          <w:rFonts w:ascii="Times New Roman" w:hAnsi="Times New Roman" w:cs="Times New Roman"/>
          <w:b/>
          <w:sz w:val="24"/>
          <w:szCs w:val="24"/>
        </w:rPr>
      </w:pPr>
      <w:r>
        <w:rPr>
          <w:rFonts w:ascii="Times New Roman" w:hAnsi="Times New Roman" w:cs="Times New Roman"/>
          <w:b/>
          <w:sz w:val="24"/>
          <w:szCs w:val="24"/>
        </w:rPr>
        <w:t>Iepirkums</w:t>
      </w:r>
    </w:p>
    <w:p w:rsidR="000D5958" w:rsidRPr="000D5958" w:rsidRDefault="000D5958" w:rsidP="000D5958">
      <w:pPr>
        <w:jc w:val="center"/>
        <w:rPr>
          <w:rFonts w:ascii="Times New Roman" w:hAnsi="Times New Roman" w:cs="Times New Roman"/>
          <w:smallCaps/>
          <w:color w:val="353535"/>
          <w:sz w:val="24"/>
          <w:szCs w:val="24"/>
        </w:rPr>
      </w:pPr>
      <w:r w:rsidRPr="00E14B71">
        <w:rPr>
          <w:rFonts w:ascii="Times New Roman" w:hAnsi="Times New Roman" w:cs="Times New Roman"/>
          <w:smallCaps/>
          <w:color w:val="353535"/>
          <w:sz w:val="24"/>
          <w:szCs w:val="24"/>
        </w:rPr>
        <w:t>„KOMANDĒJUMU UN</w:t>
      </w:r>
      <w:r>
        <w:rPr>
          <w:rFonts w:ascii="Times New Roman" w:hAnsi="Times New Roman" w:cs="Times New Roman"/>
          <w:smallCaps/>
          <w:color w:val="353535"/>
          <w:sz w:val="24"/>
          <w:szCs w:val="24"/>
        </w:rPr>
        <w:t xml:space="preserve"> DARBA BRAUCIENU ORGANIZĒŠANA UN NODROŠINĀŠANA VIDZEMES PLĀNOŠANAS REĢIONAM</w:t>
      </w:r>
      <w:r w:rsidRPr="00E14B71">
        <w:rPr>
          <w:rFonts w:ascii="Times New Roman" w:hAnsi="Times New Roman" w:cs="Times New Roman"/>
          <w:smallCaps/>
          <w:color w:val="353535"/>
          <w:sz w:val="24"/>
          <w:szCs w:val="24"/>
        </w:rPr>
        <w:t>”</w:t>
      </w:r>
    </w:p>
    <w:p w:rsidR="000D5958" w:rsidRPr="0049436A" w:rsidRDefault="000D5958" w:rsidP="000D5958">
      <w:pPr>
        <w:pStyle w:val="Heading9"/>
        <w:keepNext w:val="0"/>
        <w:widowControl/>
        <w:autoSpaceDE/>
        <w:rPr>
          <w:b/>
          <w:color w:val="FF0000"/>
          <w:sz w:val="24"/>
          <w:szCs w:val="24"/>
        </w:rPr>
      </w:pPr>
      <w:r>
        <w:rPr>
          <w:b/>
          <w:sz w:val="24"/>
          <w:szCs w:val="24"/>
        </w:rPr>
        <w:t>Iepirkuma identifikācijas Nr.</w:t>
      </w:r>
      <w:r w:rsidRPr="0049436A">
        <w:rPr>
          <w:b/>
          <w:sz w:val="24"/>
          <w:szCs w:val="24"/>
        </w:rPr>
        <w:t>VPR/201</w:t>
      </w:r>
      <w:r>
        <w:rPr>
          <w:b/>
          <w:sz w:val="24"/>
          <w:szCs w:val="24"/>
        </w:rPr>
        <w:t>2</w:t>
      </w:r>
      <w:r w:rsidRPr="0049436A">
        <w:rPr>
          <w:b/>
          <w:sz w:val="24"/>
          <w:szCs w:val="24"/>
        </w:rPr>
        <w:t>/</w:t>
      </w:r>
      <w:r>
        <w:rPr>
          <w:b/>
          <w:sz w:val="24"/>
          <w:szCs w:val="24"/>
        </w:rPr>
        <w:t>01</w:t>
      </w:r>
    </w:p>
    <w:p w:rsidR="000D5958" w:rsidRPr="00C3117D" w:rsidRDefault="000D5958" w:rsidP="000D5958">
      <w:pPr>
        <w:tabs>
          <w:tab w:val="left" w:pos="900"/>
        </w:tabs>
        <w:spacing w:after="0"/>
        <w:jc w:val="center"/>
        <w:rPr>
          <w:rFonts w:ascii="Times New Roman" w:eastAsia="Times New Roman" w:hAnsi="Times New Roman" w:cs="Times New Roman"/>
          <w:sz w:val="24"/>
          <w:szCs w:val="24"/>
        </w:rPr>
      </w:pPr>
      <w:r w:rsidRPr="00C3117D">
        <w:rPr>
          <w:rFonts w:ascii="Times New Roman" w:eastAsia="Times New Roman" w:hAnsi="Times New Roman" w:cs="Times New Roman"/>
          <w:sz w:val="24"/>
          <w:szCs w:val="24"/>
        </w:rPr>
        <w:t xml:space="preserve">Iepirkums tiek veikts saskaņā ar </w:t>
      </w:r>
      <w:r w:rsidRPr="00C3117D">
        <w:rPr>
          <w:rFonts w:ascii="Times New Roman" w:hAnsi="Times New Roman" w:cs="Times New Roman"/>
          <w:sz w:val="24"/>
          <w:szCs w:val="24"/>
        </w:rPr>
        <w:t>Publisko iepirkumu likuma 8.panta septīto un 7.</w:t>
      </w:r>
      <w:r w:rsidRPr="00C3117D">
        <w:rPr>
          <w:rFonts w:ascii="Times New Roman" w:hAnsi="Times New Roman" w:cs="Times New Roman"/>
          <w:sz w:val="24"/>
          <w:szCs w:val="24"/>
          <w:vertAlign w:val="superscript"/>
        </w:rPr>
        <w:t xml:space="preserve">1 </w:t>
      </w:r>
      <w:r w:rsidRPr="00C3117D">
        <w:rPr>
          <w:rFonts w:ascii="Times New Roman" w:hAnsi="Times New Roman" w:cs="Times New Roman"/>
          <w:sz w:val="24"/>
          <w:szCs w:val="24"/>
        </w:rPr>
        <w:t xml:space="preserve"> daļas noteikumiem.</w:t>
      </w:r>
    </w:p>
    <w:p w:rsidR="000D5958" w:rsidRPr="00603A3A" w:rsidRDefault="00603A3A" w:rsidP="000D5958">
      <w:pPr>
        <w:jc w:val="center"/>
        <w:rPr>
          <w:rFonts w:ascii="Times New Roman" w:hAnsi="Times New Roman" w:cs="Times New Roman"/>
          <w:b/>
          <w:caps/>
          <w:sz w:val="32"/>
          <w:szCs w:val="32"/>
        </w:rPr>
      </w:pPr>
      <w:r w:rsidRPr="00603A3A">
        <w:rPr>
          <w:rFonts w:ascii="Times New Roman" w:hAnsi="Times New Roman" w:cs="Times New Roman"/>
          <w:b/>
          <w:caps/>
          <w:sz w:val="32"/>
          <w:szCs w:val="32"/>
        </w:rPr>
        <w:t>precizējumi iepirkuma dokumentos</w:t>
      </w:r>
    </w:p>
    <w:p w:rsidR="000D5958" w:rsidRDefault="000D5958" w:rsidP="003B70AA">
      <w:pPr>
        <w:pStyle w:val="ListParagraph"/>
        <w:spacing w:after="0" w:line="240" w:lineRule="auto"/>
        <w:ind w:left="207"/>
        <w:jc w:val="both"/>
        <w:rPr>
          <w:rFonts w:ascii="Times New Roman" w:hAnsi="Times New Roman"/>
          <w:sz w:val="24"/>
          <w:szCs w:val="24"/>
        </w:rPr>
      </w:pPr>
      <w:r w:rsidRPr="003B70AA">
        <w:rPr>
          <w:rFonts w:ascii="Times New Roman" w:hAnsi="Times New Roman"/>
          <w:b/>
          <w:sz w:val="28"/>
          <w:szCs w:val="28"/>
        </w:rPr>
        <w:t>Iepirkumu komisija, pamatojoties uz ieinteresēto piegādātāju telefonisko jautājumu, ir veikusi precizēju</w:t>
      </w:r>
      <w:r w:rsidR="003B70AA" w:rsidRPr="003B70AA">
        <w:rPr>
          <w:rFonts w:ascii="Times New Roman" w:hAnsi="Times New Roman"/>
          <w:b/>
          <w:sz w:val="28"/>
          <w:szCs w:val="28"/>
        </w:rPr>
        <w:t>mus iepirkuma Nolikuma pielikumos</w:t>
      </w:r>
      <w:r w:rsidRPr="003B70AA">
        <w:rPr>
          <w:rFonts w:ascii="Times New Roman" w:hAnsi="Times New Roman"/>
          <w:b/>
          <w:sz w:val="28"/>
          <w:szCs w:val="28"/>
        </w:rPr>
        <w:t xml:space="preserve"> Nr.1 Tehniskā specifikācija, Nr.4</w:t>
      </w:r>
      <w:r w:rsidR="003B70AA" w:rsidRPr="003B70AA">
        <w:rPr>
          <w:rFonts w:ascii="Times New Roman" w:hAnsi="Times New Roman"/>
          <w:b/>
          <w:sz w:val="28"/>
          <w:szCs w:val="28"/>
        </w:rPr>
        <w:t xml:space="preserve"> Finanšu piedāvājuma forma un Nr.5. Tehniskā piedāvājuma forma</w:t>
      </w:r>
      <w:r w:rsidR="003B70AA">
        <w:rPr>
          <w:rFonts w:ascii="Times New Roman" w:hAnsi="Times New Roman"/>
          <w:b/>
          <w:sz w:val="28"/>
          <w:szCs w:val="28"/>
        </w:rPr>
        <w:t xml:space="preserve"> (</w:t>
      </w:r>
      <w:r w:rsidR="003B70AA">
        <w:rPr>
          <w:rFonts w:ascii="Times New Roman" w:hAnsi="Times New Roman"/>
          <w:sz w:val="28"/>
          <w:szCs w:val="28"/>
        </w:rPr>
        <w:t>20.02.2012</w:t>
      </w:r>
      <w:r w:rsidR="003B70AA" w:rsidRPr="003B70AA">
        <w:rPr>
          <w:rFonts w:ascii="Times New Roman" w:hAnsi="Times New Roman"/>
          <w:sz w:val="28"/>
          <w:szCs w:val="28"/>
        </w:rPr>
        <w:t>.protokols Nr.</w:t>
      </w:r>
      <w:r w:rsidR="003B70AA" w:rsidRPr="003B70AA">
        <w:rPr>
          <w:rFonts w:ascii="Times New Roman" w:hAnsi="Times New Roman"/>
          <w:sz w:val="24"/>
          <w:szCs w:val="24"/>
        </w:rPr>
        <w:t xml:space="preserve"> </w:t>
      </w:r>
      <w:r w:rsidR="003B70AA">
        <w:rPr>
          <w:rFonts w:ascii="Times New Roman" w:hAnsi="Times New Roman"/>
          <w:sz w:val="24"/>
          <w:szCs w:val="24"/>
        </w:rPr>
        <w:t>VPR/2012/01/2):</w:t>
      </w:r>
    </w:p>
    <w:p w:rsidR="003B70AA" w:rsidRDefault="003B70AA" w:rsidP="003B70A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Sakārtota numerācija pielikumos Nr.1 un Nr.5;</w:t>
      </w:r>
    </w:p>
    <w:p w:rsidR="003B70AA" w:rsidRDefault="003B70AA" w:rsidP="003B70A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Precizēts 5.punkts Tehniskā specifikācijā un Tehniskā piedāvājuma formā;</w:t>
      </w:r>
    </w:p>
    <w:p w:rsidR="000D5958" w:rsidRPr="003B70AA" w:rsidRDefault="003B70AA" w:rsidP="003B70A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Precizēts norādāmo izmaksu apjoms Pielikumā Nr.4 Finanšu piedāvājums.</w:t>
      </w:r>
    </w:p>
    <w:p w:rsidR="000D5958" w:rsidRDefault="000D5958" w:rsidP="000D5958">
      <w:pPr>
        <w:pStyle w:val="naislab"/>
        <w:shd w:val="clear" w:color="auto" w:fill="FFFFFF"/>
        <w:spacing w:before="0" w:beforeAutospacing="0" w:after="0" w:afterAutospacing="0"/>
        <w:jc w:val="right"/>
        <w:rPr>
          <w:b/>
          <w:sz w:val="32"/>
          <w:szCs w:val="32"/>
        </w:rPr>
      </w:pPr>
    </w:p>
    <w:p w:rsidR="000D5958" w:rsidRPr="00772161" w:rsidRDefault="000D5958" w:rsidP="000D5958">
      <w:pPr>
        <w:pStyle w:val="naislab"/>
        <w:shd w:val="clear" w:color="auto" w:fill="FFFFFF"/>
        <w:spacing w:before="0" w:beforeAutospacing="0" w:after="0" w:afterAutospacing="0"/>
        <w:jc w:val="right"/>
        <w:rPr>
          <w:b/>
        </w:rPr>
      </w:pPr>
      <w:r>
        <w:rPr>
          <w:b/>
          <w:sz w:val="32"/>
          <w:szCs w:val="32"/>
        </w:rPr>
        <w:t>Pielikums Nr.1.</w:t>
      </w:r>
    </w:p>
    <w:p w:rsidR="000D5958" w:rsidRDefault="000D5958" w:rsidP="000D5958">
      <w:pPr>
        <w:pStyle w:val="naislab"/>
        <w:shd w:val="clear" w:color="auto" w:fill="FFFFFF"/>
        <w:spacing w:before="0" w:beforeAutospacing="0" w:after="0" w:afterAutospacing="0"/>
        <w:jc w:val="center"/>
        <w:rPr>
          <w:b/>
          <w:sz w:val="32"/>
          <w:szCs w:val="32"/>
        </w:rPr>
      </w:pPr>
      <w:r>
        <w:rPr>
          <w:b/>
          <w:sz w:val="32"/>
          <w:szCs w:val="32"/>
        </w:rPr>
        <w:t>T</w:t>
      </w:r>
      <w:r w:rsidRPr="006F09B6">
        <w:rPr>
          <w:b/>
          <w:sz w:val="32"/>
          <w:szCs w:val="32"/>
        </w:rPr>
        <w:t>ehniskā specifikācija</w:t>
      </w:r>
    </w:p>
    <w:p w:rsidR="003B70AA" w:rsidRPr="003B70AA" w:rsidRDefault="003B70AA" w:rsidP="000D5958">
      <w:pPr>
        <w:pStyle w:val="naislab"/>
        <w:shd w:val="clear" w:color="auto" w:fill="FFFFFF"/>
        <w:spacing w:before="0" w:beforeAutospacing="0" w:after="0" w:afterAutospacing="0"/>
        <w:jc w:val="center"/>
        <w:rPr>
          <w:b/>
        </w:rPr>
      </w:pPr>
      <w:r w:rsidRPr="003B70AA">
        <w:rPr>
          <w:b/>
        </w:rPr>
        <w:t>(precizēta ar 20.02.2012.Iepirkumu komisijas lēmumu)</w:t>
      </w:r>
    </w:p>
    <w:p w:rsidR="000D5958" w:rsidRPr="00305E6C" w:rsidRDefault="000D5958" w:rsidP="000D5958">
      <w:pPr>
        <w:spacing w:after="0" w:line="240" w:lineRule="auto"/>
        <w:jc w:val="center"/>
        <w:rPr>
          <w:rFonts w:ascii="Times New Roman" w:hAnsi="Times New Roman" w:cs="Times New Roman"/>
          <w:smallCaps/>
          <w:color w:val="353535"/>
          <w:sz w:val="24"/>
          <w:szCs w:val="24"/>
        </w:rPr>
      </w:pPr>
      <w:r w:rsidRPr="00305E6C">
        <w:rPr>
          <w:rFonts w:ascii="Times New Roman" w:hAnsi="Times New Roman" w:cs="Times New Roman"/>
          <w:sz w:val="24"/>
          <w:szCs w:val="24"/>
        </w:rPr>
        <w:t xml:space="preserve">Iepirkums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0D5958" w:rsidRPr="006F09B6" w:rsidRDefault="000D5958" w:rsidP="000D5958">
      <w:pPr>
        <w:pStyle w:val="Heading9"/>
        <w:keepNext w:val="0"/>
        <w:widowControl/>
        <w:autoSpaceDE/>
        <w:rPr>
          <w:color w:val="auto"/>
        </w:rPr>
      </w:pPr>
      <w:r w:rsidRPr="00471F71">
        <w:rPr>
          <w:sz w:val="24"/>
          <w:szCs w:val="24"/>
        </w:rPr>
        <w:t>Iepirkuma identifikācijas Nr.: VPR/2012/01</w:t>
      </w:r>
    </w:p>
    <w:tbl>
      <w:tblPr>
        <w:tblStyle w:val="TableGrid"/>
        <w:tblW w:w="9322" w:type="dxa"/>
        <w:tblLayout w:type="fixed"/>
        <w:tblLook w:val="04A0"/>
      </w:tblPr>
      <w:tblGrid>
        <w:gridCol w:w="959"/>
        <w:gridCol w:w="8363"/>
      </w:tblGrid>
      <w:tr w:rsidR="000D5958" w:rsidRPr="006F09B6" w:rsidTr="00141A8F">
        <w:tc>
          <w:tcPr>
            <w:tcW w:w="959" w:type="dxa"/>
          </w:tcPr>
          <w:p w:rsidR="000D5958" w:rsidRPr="006F09B6" w:rsidRDefault="000D5958" w:rsidP="00141A8F">
            <w:pPr>
              <w:pStyle w:val="NormalWeb"/>
              <w:tabs>
                <w:tab w:val="left" w:pos="720"/>
              </w:tabs>
              <w:rPr>
                <w:color w:val="auto"/>
                <w:lang w:val="lv-LV"/>
              </w:rPr>
            </w:pPr>
            <w:r w:rsidRPr="006F09B6">
              <w:rPr>
                <w:color w:val="auto"/>
                <w:lang w:val="lv-LV"/>
              </w:rPr>
              <w:t>Nr.</w:t>
            </w:r>
            <w:r>
              <w:rPr>
                <w:color w:val="auto"/>
                <w:lang w:val="lv-LV"/>
              </w:rPr>
              <w:t>p.k.</w:t>
            </w:r>
          </w:p>
        </w:tc>
        <w:tc>
          <w:tcPr>
            <w:tcW w:w="8363" w:type="dxa"/>
          </w:tcPr>
          <w:p w:rsidR="000D5958" w:rsidRPr="006F09B6" w:rsidRDefault="000D5958" w:rsidP="00141A8F">
            <w:pPr>
              <w:pStyle w:val="NormalWeb"/>
              <w:tabs>
                <w:tab w:val="left" w:pos="720"/>
              </w:tabs>
              <w:jc w:val="both"/>
              <w:rPr>
                <w:color w:val="auto"/>
                <w:lang w:val="lv-LV"/>
              </w:rPr>
            </w:pPr>
            <w:r w:rsidRPr="006F09B6">
              <w:rPr>
                <w:color w:val="auto"/>
                <w:lang w:val="lv-LV"/>
              </w:rPr>
              <w:t>Prasības pakalpojumam</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sidRPr="006F09B6">
              <w:rPr>
                <w:color w:val="auto"/>
                <w:lang w:val="lv-LV"/>
              </w:rPr>
              <w:t>1.</w:t>
            </w:r>
          </w:p>
        </w:tc>
        <w:tc>
          <w:tcPr>
            <w:tcW w:w="8363" w:type="dxa"/>
          </w:tcPr>
          <w:p w:rsidR="000D5958" w:rsidRPr="006F09B6" w:rsidRDefault="000D5958" w:rsidP="00141A8F">
            <w:pPr>
              <w:pStyle w:val="NormalWeb"/>
              <w:tabs>
                <w:tab w:val="left" w:pos="720"/>
              </w:tabs>
              <w:spacing w:before="0"/>
              <w:jc w:val="both"/>
              <w:rPr>
                <w:color w:val="auto"/>
                <w:lang w:val="lv-LV"/>
              </w:rPr>
            </w:pPr>
            <w:r w:rsidRPr="006F09B6">
              <w:rPr>
                <w:color w:val="auto"/>
                <w:lang w:val="lv-LV"/>
              </w:rPr>
              <w:t>Biļešu rezervēšana, noformēšana, maiņa vai anulēšana šādiem transporta veidiem:</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Aviotransports;</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Autotransports;</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Dzelzceļa transports;</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Ūdenstransports.</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2.</w:t>
            </w:r>
          </w:p>
        </w:tc>
        <w:tc>
          <w:tcPr>
            <w:tcW w:w="8363" w:type="dxa"/>
          </w:tcPr>
          <w:p w:rsidR="000D5958" w:rsidRPr="00772161" w:rsidRDefault="000D5958" w:rsidP="00141A8F">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 xml:space="preserve">nodrošina </w:t>
            </w:r>
            <w:r w:rsidRPr="0001510D">
              <w:rPr>
                <w:bCs/>
                <w:sz w:val="23"/>
                <w:szCs w:val="23"/>
                <w:lang w:val="lv-LV"/>
              </w:rPr>
              <w:t>auto nomas rezerv</w:t>
            </w:r>
            <w:r w:rsidRPr="0001510D">
              <w:rPr>
                <w:rFonts w:ascii="TT649o00" w:hAnsi="TT649o00" w:cs="TT649o00"/>
                <w:sz w:val="23"/>
                <w:szCs w:val="23"/>
                <w:lang w:val="lv-LV"/>
              </w:rPr>
              <w:t>ē</w:t>
            </w:r>
            <w:r w:rsidRPr="0001510D">
              <w:rPr>
                <w:bCs/>
                <w:sz w:val="23"/>
                <w:szCs w:val="23"/>
                <w:lang w:val="lv-LV"/>
              </w:rPr>
              <w:t>šana</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3.</w:t>
            </w:r>
          </w:p>
        </w:tc>
        <w:tc>
          <w:tcPr>
            <w:tcW w:w="8363" w:type="dxa"/>
          </w:tcPr>
          <w:p w:rsidR="000D5958" w:rsidRPr="00772161" w:rsidRDefault="000D5958" w:rsidP="00141A8F">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nodrošina</w:t>
            </w:r>
            <w:r>
              <w:rPr>
                <w:sz w:val="23"/>
                <w:szCs w:val="23"/>
                <w:lang w:val="lv-LV"/>
              </w:rPr>
              <w:t xml:space="preserve"> autobusu (mikroautobusu) noma atbilstoši brauciena grupas dalībnieku skaitam</w:t>
            </w:r>
          </w:p>
        </w:tc>
      </w:tr>
      <w:tr w:rsidR="000D5958" w:rsidRPr="006F09B6" w:rsidTr="00141A8F">
        <w:tc>
          <w:tcPr>
            <w:tcW w:w="959" w:type="dxa"/>
          </w:tcPr>
          <w:p w:rsidR="000D5958" w:rsidRDefault="000D5958" w:rsidP="00141A8F">
            <w:pPr>
              <w:pStyle w:val="NormalWeb"/>
              <w:tabs>
                <w:tab w:val="left" w:pos="720"/>
              </w:tabs>
              <w:jc w:val="both"/>
              <w:rPr>
                <w:color w:val="auto"/>
                <w:lang w:val="lv-LV"/>
              </w:rPr>
            </w:pPr>
            <w:r>
              <w:rPr>
                <w:color w:val="auto"/>
                <w:lang w:val="lv-LV"/>
              </w:rPr>
              <w:t>4.</w:t>
            </w:r>
          </w:p>
        </w:tc>
        <w:tc>
          <w:tcPr>
            <w:tcW w:w="8363" w:type="dxa"/>
          </w:tcPr>
          <w:p w:rsidR="000D5958" w:rsidRPr="00A13108" w:rsidRDefault="000D5958" w:rsidP="00141A8F">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jāinformē P</w:t>
            </w:r>
            <w:r w:rsidRPr="006F09B6">
              <w:rPr>
                <w:color w:val="auto"/>
                <w:lang w:val="lv-LV"/>
              </w:rPr>
              <w:t>asūtītājs par visiem apdrošināšanas riskiem konkrētajā galamērķī un komandējuma laikā, jānodrošina ceļojuma apdrošināšanas noformēšana un jāinformē par tās izmantošanas nosacījumiem.</w:t>
            </w:r>
            <w:r w:rsidRPr="00A13108">
              <w:rPr>
                <w:sz w:val="20"/>
                <w:szCs w:val="20"/>
                <w:lang w:val="lv-LV"/>
              </w:rPr>
              <w:t xml:space="preserve"> </w:t>
            </w: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sidRPr="00A13108">
              <w:rPr>
                <w:lang w:val="lv-LV"/>
              </w:rPr>
              <w:t xml:space="preserve"> jānodrošina iespēja Pasūtītājam izvēlēties apdrošināšanas riskus konkrētos braucienos (piem. samazināt vai palielināt apdrošināšanas riska daudzumu).</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5.</w:t>
            </w:r>
          </w:p>
        </w:tc>
        <w:tc>
          <w:tcPr>
            <w:tcW w:w="8363" w:type="dxa"/>
          </w:tcPr>
          <w:p w:rsidR="000D5958" w:rsidRDefault="000D5958" w:rsidP="00141A8F">
            <w:pPr>
              <w:autoSpaceDE w:val="0"/>
              <w:autoSpaceDN w:val="0"/>
              <w:adjustRightInd w:val="0"/>
              <w:rPr>
                <w:rFonts w:ascii="Times New Roman" w:hAnsi="Times New Roman"/>
                <w:sz w:val="24"/>
                <w:szCs w:val="24"/>
              </w:rPr>
            </w:pPr>
            <w:r w:rsidRPr="0001510D">
              <w:rPr>
                <w:rFonts w:ascii="Times New Roman" w:hAnsi="Times New Roman"/>
                <w:sz w:val="24"/>
                <w:szCs w:val="24"/>
              </w:rPr>
              <w:t>Minimālās prasības ceļojuma apdrošināšanai:</w:t>
            </w:r>
          </w:p>
          <w:p w:rsidR="000D5958" w:rsidRPr="0033797A" w:rsidRDefault="000D5958" w:rsidP="00141A8F">
            <w:pPr>
              <w:autoSpaceDE w:val="0"/>
              <w:autoSpaceDN w:val="0"/>
              <w:adjustRightInd w:val="0"/>
              <w:rPr>
                <w:rFonts w:ascii="Times New Roman" w:hAnsi="Times New Roman"/>
                <w:sz w:val="24"/>
                <w:szCs w:val="24"/>
              </w:rPr>
            </w:pPr>
            <w:r>
              <w:rPr>
                <w:rFonts w:ascii="Times New Roman" w:hAnsi="Times New Roman"/>
                <w:color w:val="333333"/>
                <w:sz w:val="24"/>
                <w:szCs w:val="24"/>
              </w:rPr>
              <w:t>5.1.</w:t>
            </w:r>
            <w:r w:rsidRPr="0033797A">
              <w:rPr>
                <w:rFonts w:ascii="Times New Roman" w:hAnsi="Times New Roman"/>
                <w:color w:val="333333"/>
                <w:sz w:val="24"/>
                <w:szCs w:val="24"/>
              </w:rPr>
              <w:t>medicīniskās apdrošināšana un repatriācija</w:t>
            </w:r>
            <w:r>
              <w:rPr>
                <w:rFonts w:ascii="Times New Roman" w:hAnsi="Times New Roman"/>
                <w:color w:val="333333"/>
                <w:sz w:val="24"/>
                <w:szCs w:val="24"/>
              </w:rPr>
              <w:t>;</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5.2</w:t>
            </w:r>
            <w:r w:rsidRPr="0001510D">
              <w:rPr>
                <w:rFonts w:ascii="Times New Roman" w:hAnsi="Times New Roman"/>
                <w:sz w:val="24"/>
                <w:szCs w:val="24"/>
              </w:rPr>
              <w:t>. bagāžas nozaudēšana;</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5.3.bagāžas zādzība;</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5.4. bagāžas aizkavēšanās;</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5.5. lidojuma aizkavēšanās;</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5.6.ceļojuma anulēšana;</w:t>
            </w:r>
          </w:p>
          <w:p w:rsidR="000D5958" w:rsidRPr="0001510D" w:rsidRDefault="000D5958" w:rsidP="00141A8F">
            <w:pPr>
              <w:autoSpaceDE w:val="0"/>
              <w:autoSpaceDN w:val="0"/>
              <w:adjustRightInd w:val="0"/>
              <w:rPr>
                <w:rFonts w:ascii="Times New Roman" w:hAnsi="Times New Roman"/>
                <w:sz w:val="23"/>
                <w:szCs w:val="23"/>
              </w:rPr>
            </w:pPr>
            <w:r>
              <w:rPr>
                <w:rFonts w:ascii="Times New Roman" w:hAnsi="Times New Roman"/>
                <w:sz w:val="24"/>
                <w:szCs w:val="24"/>
              </w:rPr>
              <w:t>5.7.</w:t>
            </w:r>
            <w:r w:rsidRPr="0001510D">
              <w:rPr>
                <w:rFonts w:ascii="Times New Roman" w:hAnsi="Times New Roman"/>
                <w:sz w:val="24"/>
                <w:szCs w:val="24"/>
              </w:rPr>
              <w:t xml:space="preserve"> personiskā tiesiskā atbildība</w:t>
            </w:r>
            <w:r>
              <w:rPr>
                <w:rFonts w:ascii="Times New Roman" w:hAnsi="Times New Roman"/>
                <w:sz w:val="24"/>
                <w:szCs w:val="24"/>
              </w:rPr>
              <w:t>.</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6.</w:t>
            </w:r>
          </w:p>
        </w:tc>
        <w:tc>
          <w:tcPr>
            <w:tcW w:w="8363" w:type="dxa"/>
          </w:tcPr>
          <w:p w:rsidR="000D5958" w:rsidRDefault="000D5958" w:rsidP="00141A8F">
            <w:pPr>
              <w:autoSpaceDE w:val="0"/>
              <w:autoSpaceDN w:val="0"/>
              <w:adjustRightInd w:val="0"/>
              <w:rPr>
                <w:rFonts w:ascii="Times New Roman" w:hAnsi="Times New Roman"/>
                <w:sz w:val="23"/>
                <w:szCs w:val="23"/>
              </w:rPr>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j</w:t>
            </w:r>
            <w:r>
              <w:rPr>
                <w:rFonts w:ascii="TT646o00" w:hAnsi="TT646o00" w:cs="TT646o00"/>
                <w:sz w:val="23"/>
                <w:szCs w:val="23"/>
              </w:rPr>
              <w:t>ā</w:t>
            </w:r>
            <w:r>
              <w:rPr>
                <w:rFonts w:ascii="Times New Roman" w:hAnsi="Times New Roman"/>
                <w:sz w:val="23"/>
                <w:szCs w:val="23"/>
              </w:rPr>
              <w:t>nodrošina pakalpojumu sniegšana vis</w:t>
            </w:r>
            <w:r>
              <w:rPr>
                <w:rFonts w:ascii="TT646o00" w:hAnsi="TT646o00" w:cs="TT646o00"/>
                <w:sz w:val="23"/>
                <w:szCs w:val="23"/>
              </w:rPr>
              <w:t xml:space="preserve">ā </w:t>
            </w:r>
            <w:r>
              <w:rPr>
                <w:rFonts w:ascii="Times New Roman" w:hAnsi="Times New Roman"/>
                <w:sz w:val="23"/>
                <w:szCs w:val="23"/>
              </w:rPr>
              <w:t>pasaul</w:t>
            </w:r>
            <w:r>
              <w:rPr>
                <w:rFonts w:ascii="TT646o00" w:hAnsi="TT646o00" w:cs="TT646o00"/>
                <w:sz w:val="23"/>
                <w:szCs w:val="23"/>
              </w:rPr>
              <w:t>ē</w:t>
            </w:r>
            <w:r>
              <w:rPr>
                <w:rFonts w:ascii="Times New Roman" w:hAnsi="Times New Roman"/>
                <w:sz w:val="23"/>
                <w:szCs w:val="23"/>
              </w:rPr>
              <w:t>, kā arī j</w:t>
            </w:r>
            <w:r>
              <w:rPr>
                <w:rFonts w:ascii="TT646o00" w:hAnsi="TT646o00" w:cs="TT646o00"/>
                <w:sz w:val="23"/>
                <w:szCs w:val="23"/>
              </w:rPr>
              <w:t>ā</w:t>
            </w:r>
            <w:r>
              <w:rPr>
                <w:rFonts w:ascii="Times New Roman" w:hAnsi="Times New Roman"/>
                <w:sz w:val="23"/>
                <w:szCs w:val="23"/>
              </w:rPr>
              <w:t>nodrošina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iesp</w:t>
            </w:r>
            <w:r>
              <w:rPr>
                <w:rFonts w:ascii="TT646o00" w:hAnsi="TT646o00" w:cs="TT646o00"/>
                <w:sz w:val="23"/>
                <w:szCs w:val="23"/>
              </w:rPr>
              <w:t>ē</w:t>
            </w:r>
            <w:r>
              <w:rPr>
                <w:rFonts w:ascii="Times New Roman" w:hAnsi="Times New Roman"/>
                <w:sz w:val="23"/>
                <w:szCs w:val="23"/>
              </w:rPr>
              <w:t>ja savienot daž</w:t>
            </w:r>
            <w:r>
              <w:rPr>
                <w:rFonts w:ascii="TT646o00" w:hAnsi="TT646o00" w:cs="TT646o00"/>
                <w:sz w:val="23"/>
                <w:szCs w:val="23"/>
              </w:rPr>
              <w:t>ā</w:t>
            </w:r>
            <w:r>
              <w:rPr>
                <w:rFonts w:ascii="Times New Roman" w:hAnsi="Times New Roman"/>
                <w:sz w:val="23"/>
                <w:szCs w:val="23"/>
              </w:rPr>
              <w:t>da veida transporta izmantošanu galam</w:t>
            </w:r>
            <w:r>
              <w:rPr>
                <w:rFonts w:ascii="TT646o00" w:hAnsi="TT646o00" w:cs="TT646o00"/>
                <w:sz w:val="23"/>
                <w:szCs w:val="23"/>
              </w:rPr>
              <w:t>ē</w:t>
            </w:r>
            <w:r>
              <w:rPr>
                <w:rFonts w:ascii="Times New Roman" w:hAnsi="Times New Roman"/>
                <w:sz w:val="23"/>
                <w:szCs w:val="23"/>
              </w:rPr>
              <w:t>r</w:t>
            </w:r>
            <w:r>
              <w:rPr>
                <w:rFonts w:ascii="TT646o00" w:hAnsi="TT646o00" w:cs="TT646o00"/>
                <w:sz w:val="23"/>
                <w:szCs w:val="23"/>
              </w:rPr>
              <w:t>ķ</w:t>
            </w:r>
            <w:r>
              <w:rPr>
                <w:rFonts w:ascii="Times New Roman" w:hAnsi="Times New Roman"/>
                <w:sz w:val="23"/>
                <w:szCs w:val="23"/>
              </w:rPr>
              <w:t xml:space="preserve">a </w:t>
            </w:r>
            <w:r>
              <w:rPr>
                <w:rFonts w:ascii="Times New Roman" w:hAnsi="Times New Roman"/>
                <w:sz w:val="23"/>
                <w:szCs w:val="23"/>
              </w:rPr>
              <w:lastRenderedPageBreak/>
              <w:t>sasniegšanai.</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lastRenderedPageBreak/>
              <w:t>7</w:t>
            </w:r>
            <w:r w:rsidRPr="006F09B6">
              <w:rPr>
                <w:color w:val="auto"/>
                <w:lang w:val="lv-LV"/>
              </w:rPr>
              <w:t>.</w:t>
            </w:r>
          </w:p>
        </w:tc>
        <w:tc>
          <w:tcPr>
            <w:tcW w:w="8363" w:type="dxa"/>
          </w:tcPr>
          <w:p w:rsidR="000D5958" w:rsidRPr="006F09B6" w:rsidRDefault="000D5958" w:rsidP="00141A8F">
            <w:pPr>
              <w:autoSpaceDE w:val="0"/>
              <w:autoSpaceDN w:val="0"/>
              <w:adjustRightInd w:val="0"/>
            </w:pPr>
            <w:r w:rsidRPr="00E8279E">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r>
              <w:rPr>
                <w:rFonts w:ascii="Times New Roman" w:hAnsi="Times New Roman"/>
                <w:sz w:val="23"/>
                <w:szCs w:val="23"/>
              </w:rPr>
              <w:t>.</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8</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6F09B6">
              <w:rPr>
                <w:color w:val="auto"/>
                <w:lang w:val="lv-LV"/>
              </w:rPr>
              <w:t>Aviobiļetes jānodrošina ceļošanai ekonomiskajā klasē. Aviobiļetes biznesa klasē var piedāvāt tikai ārkārtas gadījumos, kad būtisku iemeslu dēļ nav iespējams veikt rezervāciju ekonomiskajā klasē.</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9</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nekavējoties jāinformē P</w:t>
            </w:r>
            <w:r w:rsidRPr="006F09B6">
              <w:rPr>
                <w:color w:val="auto"/>
                <w:lang w:val="lv-LV"/>
              </w:rPr>
              <w:t>asūtītājs par ceļoju</w:t>
            </w:r>
            <w:r>
              <w:rPr>
                <w:color w:val="auto"/>
                <w:lang w:val="lv-LV"/>
              </w:rPr>
              <w:t>mu grafika izmaiņām, atceltiem/</w:t>
            </w:r>
            <w:r w:rsidRPr="006F09B6">
              <w:rPr>
                <w:color w:val="auto"/>
                <w:lang w:val="lv-LV"/>
              </w:rPr>
              <w:t>mainītiem reisiem un citiem apstākļiem, kas tam kļuvuši zināmi un var ietekmēt plānotā komandējuma norisi.</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10</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sidRPr="006F09B6">
              <w:rPr>
                <w:color w:val="auto"/>
                <w:lang w:val="lv-LV"/>
              </w:rPr>
              <w:t xml:space="preserve"> jānodrošina servisa/konsultāciju pieejamība 7 (septiņas) dienas nedēļā 24 (divdesmit četras) stundas diennaktī, nodrošinot pasūtītāju ar telefona numuru, pa kuru iespē</w:t>
            </w:r>
            <w:r>
              <w:rPr>
                <w:color w:val="auto"/>
                <w:lang w:val="lv-LV"/>
              </w:rPr>
              <w:t>jams sazvanīt atbildīgo</w:t>
            </w:r>
            <w:r w:rsidRPr="006F09B6">
              <w:rPr>
                <w:color w:val="auto"/>
                <w:lang w:val="lv-LV"/>
              </w:rPr>
              <w:t xml:space="preserve"> konsultantu.</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11</w:t>
            </w:r>
            <w:r w:rsidRPr="006F09B6">
              <w:rPr>
                <w:color w:val="auto"/>
                <w:lang w:val="lv-LV"/>
              </w:rPr>
              <w:t>.</w:t>
            </w:r>
          </w:p>
        </w:tc>
        <w:tc>
          <w:tcPr>
            <w:tcW w:w="8363" w:type="dxa"/>
          </w:tcPr>
          <w:p w:rsidR="000D5958" w:rsidRPr="00E8279E" w:rsidRDefault="000D5958" w:rsidP="00141A8F">
            <w:pPr>
              <w:autoSpaceDE w:val="0"/>
              <w:autoSpaceDN w:val="0"/>
              <w:adjustRightInd w:val="0"/>
              <w:rPr>
                <w:rFonts w:ascii="Times New Roman" w:hAnsi="Times New Roman"/>
                <w:sz w:val="24"/>
                <w:szCs w:val="24"/>
              </w:rPr>
            </w:pPr>
            <w:r w:rsidRPr="00E8279E">
              <w:rPr>
                <w:rFonts w:ascii="Times New Roman" w:hAnsi="Times New Roman"/>
                <w:sz w:val="24"/>
                <w:szCs w:val="24"/>
              </w:rPr>
              <w:t>Izpildītājam jāpiedāvā Pasūtītāja darbinieku/pārstāvju izmitināšana viesnīcās, kuru kategorijai ir jābūt ne zemākai par trešo kategoriju atbilstoši Latvijas valsts</w:t>
            </w:r>
            <w:r>
              <w:rPr>
                <w:rFonts w:ascii="Times New Roman" w:hAnsi="Times New Roman"/>
                <w:sz w:val="24"/>
                <w:szCs w:val="24"/>
              </w:rPr>
              <w:t xml:space="preserve"> </w:t>
            </w:r>
            <w:r w:rsidRPr="00E8279E">
              <w:rPr>
                <w:rFonts w:ascii="Times New Roman" w:hAnsi="Times New Roman"/>
                <w:sz w:val="24"/>
                <w:szCs w:val="24"/>
              </w:rPr>
              <w:t>standartam LVS 200-1+A1:2004 vai ekvivalentam citā standartizācijas sistēmā</w:t>
            </w:r>
            <w:r>
              <w:rPr>
                <w:rFonts w:ascii="Times New Roman" w:hAnsi="Times New Roman"/>
                <w:sz w:val="24"/>
                <w:szCs w:val="24"/>
              </w:rPr>
              <w:t xml:space="preserve">, un </w:t>
            </w:r>
            <w:r w:rsidRPr="00E8279E">
              <w:rPr>
                <w:rFonts w:ascii="Times New Roman" w:hAnsi="Times New Roman"/>
                <w:sz w:val="24"/>
                <w:szCs w:val="24"/>
              </w:rPr>
              <w:t>kas atrodas maksimāli tuvu komandējumu galamērķiem/</w:t>
            </w:r>
            <w:r>
              <w:rPr>
                <w:rFonts w:ascii="Times New Roman" w:hAnsi="Times New Roman"/>
                <w:sz w:val="24"/>
                <w:szCs w:val="24"/>
              </w:rPr>
              <w:t xml:space="preserve"> </w:t>
            </w:r>
            <w:r w:rsidRPr="00E8279E">
              <w:rPr>
                <w:rFonts w:ascii="Times New Roman" w:hAnsi="Times New Roman"/>
                <w:sz w:val="24"/>
                <w:szCs w:val="24"/>
              </w:rPr>
              <w:t xml:space="preserve">pasākumu norises vietām, maksimāli ņemot vērā Pasūtītāja noteikto cenu līmeni. </w:t>
            </w:r>
            <w:r>
              <w:rPr>
                <w:rFonts w:ascii="Times New Roman" w:hAnsi="Times New Roman"/>
                <w:sz w:val="24"/>
                <w:szCs w:val="24"/>
              </w:rPr>
              <w:t>P</w:t>
            </w:r>
            <w:r w:rsidRPr="00E8279E">
              <w:rPr>
                <w:rFonts w:ascii="Times New Roman" w:hAnsi="Times New Roman"/>
                <w:sz w:val="24"/>
                <w:szCs w:val="24"/>
              </w:rPr>
              <w:t xml:space="preserve">rasība </w:t>
            </w:r>
            <w:r>
              <w:rPr>
                <w:rFonts w:ascii="Times New Roman" w:hAnsi="Times New Roman"/>
                <w:sz w:val="24"/>
                <w:szCs w:val="24"/>
              </w:rPr>
              <w:t xml:space="preserve">par viesnīcas kategoriju </w:t>
            </w:r>
            <w:r w:rsidRPr="00E8279E">
              <w:rPr>
                <w:rFonts w:ascii="Times New Roman" w:hAnsi="Times New Roman"/>
                <w:sz w:val="24"/>
                <w:szCs w:val="24"/>
              </w:rPr>
              <w:t>neattiecas uz gadījumiem, kad to nav iespējams nodrošināt objektīvu iemeslu dēļ,</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12</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6F09B6">
              <w:rPr>
                <w:color w:val="auto"/>
                <w:lang w:val="lv-LV"/>
              </w:rPr>
              <w:t xml:space="preserve">Pēc Pasūtītāja pieprasījuma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jāveic pasūtījuma izdarīšana vai jāveic avansa pārskaitījums pakalpojuma sniedzējam, izsniedzot Pasūtītājam pakalpojuma rezervāciju/pasūtīšanu apliecinošu dokumentu.</w:t>
            </w:r>
            <w:r>
              <w:rPr>
                <w:color w:val="auto"/>
                <w:lang w:val="lv-LV"/>
              </w:rPr>
              <w:t xml:space="preserve"> Samaksu par veiktajiem pasūtījumiem Pasūtītājs veic iespējami īsā laikā, bet ne vēlāk kā 30 darba dienu laikā pēc attiecīga rēķina saņemšanas.</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13</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6F09B6">
              <w:rPr>
                <w:color w:val="auto"/>
                <w:lang w:val="lv-LV"/>
              </w:rPr>
              <w:t>Visām pakalpojumu rezervācijām jā</w:t>
            </w:r>
            <w:r>
              <w:rPr>
                <w:color w:val="auto"/>
                <w:lang w:val="lv-LV"/>
              </w:rPr>
              <w:t>būt elektroniski saskaņotām ar P</w:t>
            </w:r>
            <w:r w:rsidRPr="006F09B6">
              <w:rPr>
                <w:color w:val="auto"/>
                <w:lang w:val="lv-LV"/>
              </w:rPr>
              <w:t>asūtītāju.</w:t>
            </w:r>
            <w:r>
              <w:rPr>
                <w:color w:val="auto"/>
                <w:lang w:val="lv-LV"/>
              </w:rPr>
              <w:t xml:space="preserve"> </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14</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nekavējoti</w:t>
            </w:r>
            <w:r>
              <w:rPr>
                <w:color w:val="auto"/>
                <w:lang w:val="lv-LV"/>
              </w:rPr>
              <w:t>es jāinformē Pasūtītājs par vīza</w:t>
            </w:r>
            <w:r w:rsidRPr="006F09B6">
              <w:rPr>
                <w:color w:val="auto"/>
                <w:lang w:val="lv-LV"/>
              </w:rPr>
              <w:t>s nepieciešamību konkrētajā valstī un nepieciešamības gadījumā jānokārto vīzas saņemšanas formalitātes.</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15</w:t>
            </w:r>
            <w:r w:rsidRPr="006F09B6">
              <w:rPr>
                <w:color w:val="auto"/>
                <w:lang w:val="lv-LV"/>
              </w:rPr>
              <w:t>.</w:t>
            </w:r>
          </w:p>
        </w:tc>
        <w:tc>
          <w:tcPr>
            <w:tcW w:w="8363" w:type="dxa"/>
          </w:tcPr>
          <w:p w:rsidR="000D5958" w:rsidRPr="00A73D9C" w:rsidRDefault="000D5958" w:rsidP="00141A8F">
            <w:pPr>
              <w:autoSpaceDE w:val="0"/>
              <w:autoSpaceDN w:val="0"/>
              <w:adjustRightInd w:val="0"/>
              <w:rPr>
                <w:rFonts w:ascii="Times New Roman" w:hAnsi="Times New Roman"/>
                <w:sz w:val="23"/>
                <w:szCs w:val="23"/>
              </w:rPr>
            </w:pPr>
            <w:r>
              <w:rPr>
                <w:rFonts w:ascii="Times New Roman" w:hAnsi="Times New Roman"/>
                <w:sz w:val="23"/>
                <w:szCs w:val="23"/>
              </w:rPr>
              <w:t xml:space="preserve"> 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ir j</w:t>
            </w:r>
            <w:r>
              <w:rPr>
                <w:rFonts w:ascii="TT646o00" w:hAnsi="TT646o00" w:cs="TT646o00"/>
                <w:sz w:val="23"/>
                <w:szCs w:val="23"/>
              </w:rPr>
              <w:t>ā</w:t>
            </w:r>
            <w:r>
              <w:rPr>
                <w:rFonts w:ascii="Times New Roman" w:hAnsi="Times New Roman"/>
                <w:sz w:val="23"/>
                <w:szCs w:val="23"/>
              </w:rPr>
              <w:t>nodrošina iesp</w:t>
            </w:r>
            <w:r>
              <w:rPr>
                <w:rFonts w:ascii="TT646o00" w:hAnsi="TT646o00" w:cs="TT646o00"/>
                <w:sz w:val="23"/>
                <w:szCs w:val="23"/>
              </w:rPr>
              <w:t>ē</w:t>
            </w:r>
            <w:r>
              <w:rPr>
                <w:rFonts w:ascii="Times New Roman" w:hAnsi="Times New Roman"/>
                <w:sz w:val="23"/>
                <w:szCs w:val="23"/>
              </w:rPr>
              <w:t>ja main</w:t>
            </w:r>
            <w:r>
              <w:rPr>
                <w:rFonts w:ascii="TT646o00" w:hAnsi="TT646o00" w:cs="TT646o00"/>
                <w:sz w:val="23"/>
                <w:szCs w:val="23"/>
              </w:rPr>
              <w:t>ī</w:t>
            </w:r>
            <w:r>
              <w:rPr>
                <w:rFonts w:ascii="Times New Roman" w:hAnsi="Times New Roman"/>
                <w:sz w:val="23"/>
                <w:szCs w:val="23"/>
              </w:rPr>
              <w:t>t vai anul</w:t>
            </w:r>
            <w:r>
              <w:rPr>
                <w:rFonts w:ascii="TT646o00" w:hAnsi="TT646o00" w:cs="TT646o00"/>
                <w:sz w:val="23"/>
                <w:szCs w:val="23"/>
              </w:rPr>
              <w:t>ē</w:t>
            </w:r>
            <w:r>
              <w:rPr>
                <w:rFonts w:ascii="Times New Roman" w:hAnsi="Times New Roman"/>
                <w:sz w:val="23"/>
                <w:szCs w:val="23"/>
              </w:rPr>
              <w:t>t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rezerv</w:t>
            </w:r>
            <w:r>
              <w:rPr>
                <w:rFonts w:ascii="TT646o00" w:hAnsi="TT646o00" w:cs="TT646o00"/>
                <w:sz w:val="23"/>
                <w:szCs w:val="23"/>
              </w:rPr>
              <w:t>ē</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s bi</w:t>
            </w:r>
            <w:r>
              <w:rPr>
                <w:rFonts w:ascii="TT646o00" w:hAnsi="TT646o00" w:cs="TT646o00"/>
                <w:sz w:val="23"/>
                <w:szCs w:val="23"/>
              </w:rPr>
              <w:t>ļ</w:t>
            </w:r>
            <w:r>
              <w:rPr>
                <w:rFonts w:ascii="Times New Roman" w:hAnsi="Times New Roman"/>
                <w:sz w:val="23"/>
                <w:szCs w:val="23"/>
              </w:rPr>
              <w:t>etes un viesn</w:t>
            </w:r>
            <w:r>
              <w:rPr>
                <w:rFonts w:ascii="TT646o00" w:hAnsi="TT646o00" w:cs="TT646o00"/>
                <w:sz w:val="23"/>
                <w:szCs w:val="23"/>
              </w:rPr>
              <w:t>ī</w:t>
            </w:r>
            <w:r>
              <w:rPr>
                <w:rFonts w:ascii="Times New Roman" w:hAnsi="Times New Roman"/>
                <w:sz w:val="23"/>
                <w:szCs w:val="23"/>
              </w:rPr>
              <w:t>cas.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juma anul</w:t>
            </w:r>
            <w:r>
              <w:rPr>
                <w:rFonts w:ascii="TT646o00" w:hAnsi="TT646o00" w:cs="TT646o00"/>
                <w:sz w:val="23"/>
                <w:szCs w:val="23"/>
              </w:rPr>
              <w:t>ā</w:t>
            </w:r>
            <w:r>
              <w:rPr>
                <w:rFonts w:ascii="Times New Roman" w:hAnsi="Times New Roman"/>
                <w:sz w:val="23"/>
                <w:szCs w:val="23"/>
              </w:rPr>
              <w:t>cijas gad</w:t>
            </w:r>
            <w:r>
              <w:rPr>
                <w:rFonts w:ascii="TT646o00" w:hAnsi="TT646o00" w:cs="TT646o00"/>
                <w:sz w:val="23"/>
                <w:szCs w:val="23"/>
              </w:rPr>
              <w:t>ī</w:t>
            </w:r>
            <w:r>
              <w:rPr>
                <w:rFonts w:ascii="Times New Roman" w:hAnsi="Times New Roman"/>
                <w:sz w:val="23"/>
                <w:szCs w:val="23"/>
              </w:rPr>
              <w:t>jum</w:t>
            </w:r>
            <w:r>
              <w:rPr>
                <w:rFonts w:ascii="TT646o00" w:hAnsi="TT646o00" w:cs="TT646o00"/>
                <w:sz w:val="23"/>
                <w:szCs w:val="23"/>
              </w:rPr>
              <w:t xml:space="preserve">ā </w:t>
            </w:r>
            <w:r>
              <w:rPr>
                <w:rFonts w:ascii="Times New Roman" w:hAnsi="Times New Roman"/>
                <w:sz w:val="23"/>
                <w:szCs w:val="23"/>
              </w:rPr>
              <w:t>rezerv</w:t>
            </w:r>
            <w:r>
              <w:rPr>
                <w:rFonts w:ascii="TT646o00" w:hAnsi="TT646o00" w:cs="TT646o00"/>
                <w:sz w:val="23"/>
                <w:szCs w:val="23"/>
              </w:rPr>
              <w:t>ē</w:t>
            </w:r>
            <w:r>
              <w:rPr>
                <w:rFonts w:ascii="Times New Roman" w:hAnsi="Times New Roman"/>
                <w:sz w:val="23"/>
                <w:szCs w:val="23"/>
              </w:rPr>
              <w:t>to un apmaks</w:t>
            </w:r>
            <w:r>
              <w:rPr>
                <w:rFonts w:ascii="TT646o00" w:hAnsi="TT646o00" w:cs="TT646o00"/>
                <w:sz w:val="23"/>
                <w:szCs w:val="23"/>
              </w:rPr>
              <w:t>ā</w:t>
            </w:r>
            <w:r>
              <w:rPr>
                <w:rFonts w:ascii="Times New Roman" w:hAnsi="Times New Roman"/>
                <w:sz w:val="23"/>
                <w:szCs w:val="23"/>
              </w:rPr>
              <w:t>to bi</w:t>
            </w:r>
            <w:r>
              <w:rPr>
                <w:rFonts w:ascii="TT646o00" w:hAnsi="TT646o00" w:cs="TT646o00"/>
                <w:sz w:val="23"/>
                <w:szCs w:val="23"/>
              </w:rPr>
              <w:t>ļ</w:t>
            </w:r>
            <w:r>
              <w:rPr>
                <w:rFonts w:ascii="Times New Roman" w:hAnsi="Times New Roman"/>
                <w:sz w:val="23"/>
                <w:szCs w:val="23"/>
              </w:rPr>
              <w:t>ešu, viesn</w:t>
            </w:r>
            <w:r>
              <w:rPr>
                <w:rFonts w:ascii="TT646o00" w:hAnsi="TT646o00" w:cs="TT646o00"/>
                <w:sz w:val="23"/>
                <w:szCs w:val="23"/>
              </w:rPr>
              <w:t>ī</w:t>
            </w:r>
            <w:r>
              <w:rPr>
                <w:rFonts w:ascii="Times New Roman" w:hAnsi="Times New Roman"/>
                <w:sz w:val="23"/>
                <w:szCs w:val="23"/>
              </w:rPr>
              <w:t>cu un citu pakalpojumu summa tiek atmaks</w:t>
            </w:r>
            <w:r>
              <w:rPr>
                <w:rFonts w:ascii="TT646o00" w:hAnsi="TT646o00" w:cs="TT646o00"/>
                <w:sz w:val="23"/>
                <w:szCs w:val="23"/>
              </w:rPr>
              <w:t>ā</w:t>
            </w:r>
            <w:r>
              <w:rPr>
                <w:rFonts w:ascii="Times New Roman" w:hAnsi="Times New Roman"/>
                <w:sz w:val="23"/>
                <w:szCs w:val="23"/>
              </w:rPr>
              <w:t>ta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saska</w:t>
            </w:r>
            <w:r>
              <w:rPr>
                <w:rFonts w:ascii="TT646o00" w:hAnsi="TT646o00" w:cs="TT646o00"/>
                <w:sz w:val="23"/>
                <w:szCs w:val="23"/>
              </w:rPr>
              <w:t xml:space="preserve">ņā </w:t>
            </w:r>
            <w:r>
              <w:rPr>
                <w:rFonts w:ascii="Times New Roman" w:hAnsi="Times New Roman"/>
                <w:sz w:val="23"/>
                <w:szCs w:val="23"/>
              </w:rPr>
              <w:t>ar apkalpojošo komp</w:t>
            </w:r>
            <w:r>
              <w:rPr>
                <w:rFonts w:ascii="TT646o00" w:hAnsi="TT646o00" w:cs="TT646o00"/>
                <w:sz w:val="23"/>
                <w:szCs w:val="23"/>
              </w:rPr>
              <w:t>ā</w:t>
            </w:r>
            <w:r>
              <w:rPr>
                <w:rFonts w:ascii="Times New Roman" w:hAnsi="Times New Roman"/>
                <w:sz w:val="23"/>
                <w:szCs w:val="23"/>
              </w:rPr>
              <w:t>niju noteikumiem.</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16</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jānodrošina ceļojuma dokumentu (vīzas, biļetes, apdrošināšana, v</w:t>
            </w:r>
            <w:r>
              <w:rPr>
                <w:color w:val="auto"/>
                <w:lang w:val="lv-LV"/>
              </w:rPr>
              <w:t>iesnīcas vaučeri u.c.) piegāde P</w:t>
            </w:r>
            <w:r w:rsidRPr="006F09B6">
              <w:rPr>
                <w:color w:val="auto"/>
                <w:lang w:val="lv-LV"/>
              </w:rPr>
              <w:t xml:space="preserve">asūtītāja </w:t>
            </w:r>
            <w:r w:rsidRPr="000F2F9A">
              <w:rPr>
                <w:color w:val="auto"/>
                <w:lang w:val="lv-LV"/>
              </w:rPr>
              <w:t xml:space="preserve">birojā, </w:t>
            </w:r>
            <w:r w:rsidRPr="000F2F9A">
              <w:rPr>
                <w:lang w:val="lv-LV"/>
              </w:rPr>
              <w:t>J. Poruka ielā 8-108, Cēsīs, LV-4101</w:t>
            </w:r>
            <w:r w:rsidRPr="000F2F9A">
              <w:rPr>
                <w:color w:val="auto"/>
                <w:lang w:val="lv-LV"/>
              </w:rPr>
              <w:t>, darba</w:t>
            </w:r>
            <w:r w:rsidRPr="006F09B6">
              <w:rPr>
                <w:color w:val="auto"/>
                <w:lang w:val="lv-LV"/>
              </w:rPr>
              <w:t xml:space="preserve"> dienās no 9.00 līdz 17.00, ja tas nepiec</w:t>
            </w:r>
            <w:r>
              <w:rPr>
                <w:color w:val="auto"/>
                <w:lang w:val="lv-LV"/>
              </w:rPr>
              <w:t>iešams un dokumentus nav iespē</w:t>
            </w:r>
            <w:r w:rsidRPr="006F09B6">
              <w:rPr>
                <w:color w:val="auto"/>
                <w:lang w:val="lv-LV"/>
              </w:rPr>
              <w:t>jams nosūtīt pa pastu vai elektroniski.</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17.</w:t>
            </w:r>
          </w:p>
        </w:tc>
        <w:tc>
          <w:tcPr>
            <w:tcW w:w="8363" w:type="dxa"/>
          </w:tcPr>
          <w:p w:rsidR="000D5958" w:rsidRPr="006F09B6" w:rsidRDefault="000D5958" w:rsidP="00141A8F">
            <w:pPr>
              <w:autoSpaceDE w:val="0"/>
              <w:autoSpaceDN w:val="0"/>
              <w:adjustRightInd w:val="0"/>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js p</w:t>
            </w:r>
            <w:r>
              <w:rPr>
                <w:rFonts w:ascii="TT646o00" w:hAnsi="TT646o00" w:cs="TT646o00"/>
                <w:sz w:val="23"/>
                <w:szCs w:val="23"/>
              </w:rPr>
              <w:t>ē</w:t>
            </w:r>
            <w:r>
              <w:rPr>
                <w:rFonts w:ascii="Times New Roman" w:hAnsi="Times New Roman"/>
                <w:sz w:val="23"/>
                <w:szCs w:val="23"/>
              </w:rPr>
              <w:t>c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piepras</w:t>
            </w:r>
            <w:r>
              <w:rPr>
                <w:rFonts w:ascii="TT646o00" w:hAnsi="TT646o00" w:cs="TT646o00"/>
                <w:sz w:val="23"/>
                <w:szCs w:val="23"/>
              </w:rPr>
              <w:t>ī</w:t>
            </w:r>
            <w:r>
              <w:rPr>
                <w:rFonts w:ascii="Times New Roman" w:hAnsi="Times New Roman"/>
                <w:sz w:val="23"/>
                <w:szCs w:val="23"/>
              </w:rPr>
              <w:t>juma sagatavo r</w:t>
            </w:r>
            <w:r>
              <w:rPr>
                <w:rFonts w:ascii="TT646o00" w:hAnsi="TT646o00" w:cs="TT646o00"/>
                <w:sz w:val="23"/>
                <w:szCs w:val="23"/>
              </w:rPr>
              <w:t>ēķ</w:t>
            </w:r>
            <w:r>
              <w:rPr>
                <w:rFonts w:ascii="Times New Roman" w:hAnsi="Times New Roman"/>
                <w:sz w:val="23"/>
                <w:szCs w:val="23"/>
              </w:rPr>
              <w:t>inus ar nepieciešamo rēķinā norādāmo informācijas daudzumu, vai rēķinus  ang</w:t>
            </w:r>
            <w:r>
              <w:rPr>
                <w:rFonts w:ascii="TT646o00" w:hAnsi="TT646o00" w:cs="TT646o00"/>
                <w:sz w:val="23"/>
                <w:szCs w:val="23"/>
              </w:rPr>
              <w:t>ļ</w:t>
            </w:r>
            <w:r>
              <w:rPr>
                <w:rFonts w:ascii="Times New Roman" w:hAnsi="Times New Roman"/>
                <w:sz w:val="23"/>
                <w:szCs w:val="23"/>
              </w:rPr>
              <w:t>u valod</w:t>
            </w:r>
            <w:r>
              <w:rPr>
                <w:rFonts w:ascii="TT646o00" w:hAnsi="TT646o00" w:cs="TT646o00"/>
                <w:sz w:val="23"/>
                <w:szCs w:val="23"/>
              </w:rPr>
              <w:t>ā</w:t>
            </w:r>
            <w:r>
              <w:rPr>
                <w:rFonts w:ascii="Times New Roman" w:hAnsi="Times New Roman"/>
                <w:sz w:val="23"/>
                <w:szCs w:val="23"/>
              </w:rPr>
              <w:t>, vai izmaksas nor</w:t>
            </w:r>
            <w:r>
              <w:rPr>
                <w:rFonts w:ascii="TT646o00" w:hAnsi="TT646o00" w:cs="TT646o00"/>
                <w:sz w:val="23"/>
                <w:szCs w:val="23"/>
              </w:rPr>
              <w:t>ā</w:t>
            </w:r>
            <w:r>
              <w:rPr>
                <w:rFonts w:ascii="Times New Roman" w:hAnsi="Times New Roman"/>
                <w:sz w:val="23"/>
                <w:szCs w:val="23"/>
              </w:rPr>
              <w:t>dot eiro (EUR) un tml.</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18</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Pr>
                <w:color w:val="auto"/>
                <w:lang w:val="lv-LV"/>
              </w:rPr>
              <w:t>Izpildītājs sniedz konsultācijas ar komandējumu un darba braucienu</w:t>
            </w:r>
            <w:r w:rsidRPr="006F09B6">
              <w:rPr>
                <w:color w:val="auto"/>
                <w:lang w:val="lv-LV"/>
              </w:rPr>
              <w:t xml:space="preserve"> organizēšanu saistītos jautājumos (izdevīgāko ceļojumu maršrutu izstrāde un salīdzināšana, potenciālo izmaksu aprēķināšana u</w:t>
            </w:r>
            <w:r>
              <w:rPr>
                <w:color w:val="auto"/>
                <w:lang w:val="lv-LV"/>
              </w:rPr>
              <w:t xml:space="preserve">n </w:t>
            </w:r>
            <w:r w:rsidRPr="006F09B6">
              <w:rPr>
                <w:color w:val="auto"/>
                <w:lang w:val="lv-LV"/>
              </w:rPr>
              <w:t>tml.)</w:t>
            </w:r>
            <w:r>
              <w:rPr>
                <w:color w:val="auto"/>
                <w:lang w:val="lv-LV"/>
              </w:rPr>
              <w:t>.</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19</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Pr="006F09B6">
              <w:rPr>
                <w:color w:val="auto"/>
                <w:lang w:val="lv-LV"/>
              </w:rPr>
              <w:t xml:space="preserve"> nodrošina pakalpojumu maksimāli operatīvi no pasūtījuma izdarīšanas brīža, bet ne vēlāk kā 2 kalendāro dienu laikā.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Pr="006F09B6">
              <w:rPr>
                <w:color w:val="auto"/>
                <w:lang w:val="lv-LV"/>
              </w:rPr>
              <w:t xml:space="preserve"> nodrošina iespēju veikt pasūtījumu pa tālruni, e-pastu vai, ierodoties birojā,</w:t>
            </w:r>
            <w:r>
              <w:rPr>
                <w:color w:val="auto"/>
                <w:lang w:val="lv-LV"/>
              </w:rPr>
              <w:t xml:space="preserve"> kā arī </w:t>
            </w:r>
            <w:r w:rsidRPr="006F09B6">
              <w:rPr>
                <w:color w:val="auto"/>
                <w:lang w:val="lv-LV"/>
              </w:rPr>
              <w:t xml:space="preserve"> norādot konkrētu tālruņa, faksa numuru un e-pasta adresi, kurus Pasūtītājs var izmantot, lai operatīvi sazinātos </w:t>
            </w:r>
            <w:r w:rsidRPr="006F09B6">
              <w:rPr>
                <w:color w:val="auto"/>
                <w:lang w:val="lv-LV"/>
              </w:rPr>
              <w:lastRenderedPageBreak/>
              <w:t xml:space="preserve">ar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 xml:space="preserve">ja </w:t>
            </w:r>
            <w:r w:rsidRPr="006F09B6">
              <w:rPr>
                <w:color w:val="auto"/>
                <w:lang w:val="lv-LV"/>
              </w:rPr>
              <w:t>darbinieku.</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lastRenderedPageBreak/>
              <w:t>20</w:t>
            </w:r>
            <w:r w:rsidRPr="006F09B6">
              <w:rPr>
                <w:color w:val="auto"/>
                <w:lang w:val="lv-LV"/>
              </w:rPr>
              <w:t>.</w:t>
            </w:r>
          </w:p>
        </w:tc>
        <w:tc>
          <w:tcPr>
            <w:tcW w:w="8363"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Pasūtītāja apkalpošanai jānorīko konkrēts </w:t>
            </w:r>
            <w:r>
              <w:rPr>
                <w:color w:val="auto"/>
                <w:lang w:val="lv-LV"/>
              </w:rPr>
              <w:t>darbinieks, kurš sadarbojas ar P</w:t>
            </w:r>
            <w:r w:rsidRPr="006F09B6">
              <w:rPr>
                <w:color w:val="auto"/>
                <w:lang w:val="lv-LV"/>
              </w:rPr>
              <w:t xml:space="preserve">asūtītāju un ir atbildīgs par tā pasūtījumu operatīvu izpildi. Šī darbinieka prombūtnes gadījumā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jānorīko aizstājējs, kurš spēj nodrošināt pakalpojuma sniegšanu atbilstoši Pasūtītāja vajadzībām.</w:t>
            </w:r>
          </w:p>
        </w:tc>
      </w:tr>
    </w:tbl>
    <w:p w:rsidR="000D5958" w:rsidRDefault="000D5958" w:rsidP="000D5958">
      <w:pPr>
        <w:rPr>
          <w:rFonts w:ascii="Times New Roman" w:eastAsia="Calibri" w:hAnsi="Times New Roman" w:cs="Times New Roman"/>
          <w:b/>
          <w:sz w:val="24"/>
          <w:szCs w:val="24"/>
          <w:lang w:eastAsia="ar-SA"/>
        </w:rPr>
      </w:pPr>
      <w:r>
        <w:rPr>
          <w:rFonts w:ascii="Times New Roman" w:hAnsi="Times New Roman"/>
          <w:b/>
          <w:sz w:val="24"/>
          <w:szCs w:val="24"/>
        </w:rPr>
        <w:br w:type="page"/>
      </w:r>
    </w:p>
    <w:p w:rsidR="000D5958" w:rsidRDefault="000D5958" w:rsidP="000D5958">
      <w:pPr>
        <w:autoSpaceDE w:val="0"/>
        <w:autoSpaceDN w:val="0"/>
        <w:adjustRightInd w:val="0"/>
        <w:spacing w:after="0" w:line="240" w:lineRule="auto"/>
        <w:rPr>
          <w:rFonts w:ascii="Times New Roman" w:hAnsi="Times New Roman" w:cs="Times New Roman"/>
          <w:b/>
          <w:bCs/>
          <w:sz w:val="26"/>
          <w:szCs w:val="26"/>
        </w:rPr>
      </w:pPr>
    </w:p>
    <w:p w:rsidR="000D5958" w:rsidRPr="000D5958" w:rsidRDefault="000D5958" w:rsidP="000D5958">
      <w:pPr>
        <w:jc w:val="right"/>
        <w:rPr>
          <w:rFonts w:ascii="Times New Roman" w:hAnsi="Times New Roman" w:cs="Times New Roman"/>
          <w:sz w:val="28"/>
          <w:szCs w:val="28"/>
        </w:rPr>
      </w:pPr>
      <w:r w:rsidRPr="000D5958">
        <w:rPr>
          <w:rFonts w:ascii="Times New Roman" w:hAnsi="Times New Roman" w:cs="Times New Roman"/>
          <w:b/>
          <w:sz w:val="28"/>
          <w:szCs w:val="28"/>
        </w:rPr>
        <w:t>Pielikums Nr.4.</w:t>
      </w:r>
    </w:p>
    <w:p w:rsidR="000D5958" w:rsidRDefault="000D5958" w:rsidP="000D5958">
      <w:pPr>
        <w:ind w:left="357" w:hanging="357"/>
        <w:jc w:val="center"/>
        <w:rPr>
          <w:rFonts w:ascii="Times New Roman" w:hAnsi="Times New Roman" w:cs="Times New Roman"/>
          <w:b/>
          <w:caps/>
          <w:sz w:val="24"/>
          <w:szCs w:val="24"/>
        </w:rPr>
      </w:pPr>
      <w:r w:rsidRPr="00471F71">
        <w:rPr>
          <w:rFonts w:ascii="Times New Roman" w:hAnsi="Times New Roman" w:cs="Times New Roman"/>
          <w:b/>
          <w:caps/>
          <w:sz w:val="24"/>
          <w:szCs w:val="24"/>
        </w:rPr>
        <w:t>FINANŠU PIEDĀVĀJUMS</w:t>
      </w:r>
    </w:p>
    <w:p w:rsidR="003B70AA" w:rsidRPr="00603A3A" w:rsidRDefault="003B70AA" w:rsidP="00603A3A">
      <w:pPr>
        <w:pStyle w:val="naislab"/>
        <w:shd w:val="clear" w:color="auto" w:fill="FFFFFF"/>
        <w:spacing w:before="0" w:beforeAutospacing="0" w:after="0" w:afterAutospacing="0"/>
        <w:jc w:val="center"/>
        <w:rPr>
          <w:b/>
        </w:rPr>
      </w:pPr>
      <w:r w:rsidRPr="003B70AA">
        <w:rPr>
          <w:b/>
        </w:rPr>
        <w:t>(</w:t>
      </w:r>
      <w:r>
        <w:rPr>
          <w:b/>
        </w:rPr>
        <w:t>precizēts</w:t>
      </w:r>
      <w:r w:rsidRPr="003B70AA">
        <w:rPr>
          <w:b/>
        </w:rPr>
        <w:t xml:space="preserve"> ar 20.02.2012.Iepirkumu komisijas lēmumu)</w:t>
      </w:r>
    </w:p>
    <w:p w:rsidR="000D5958" w:rsidRPr="00305E6C" w:rsidRDefault="000D5958" w:rsidP="000D5958">
      <w:pPr>
        <w:spacing w:after="0" w:line="240" w:lineRule="auto"/>
        <w:jc w:val="center"/>
        <w:rPr>
          <w:rFonts w:ascii="Times New Roman" w:hAnsi="Times New Roman" w:cs="Times New Roman"/>
          <w:smallCaps/>
          <w:color w:val="353535"/>
          <w:sz w:val="24"/>
          <w:szCs w:val="24"/>
        </w:rPr>
      </w:pPr>
      <w:r w:rsidRPr="00305E6C">
        <w:rPr>
          <w:rFonts w:ascii="Times New Roman" w:hAnsi="Times New Roman" w:cs="Times New Roman"/>
          <w:sz w:val="24"/>
          <w:szCs w:val="24"/>
        </w:rPr>
        <w:t xml:space="preserve">Iepirkums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0D5958" w:rsidRPr="0033797A" w:rsidRDefault="000D5958" w:rsidP="00603A3A">
      <w:pPr>
        <w:pStyle w:val="Heading9"/>
        <w:keepNext w:val="0"/>
        <w:widowControl/>
        <w:autoSpaceDE/>
      </w:pPr>
      <w:r w:rsidRPr="00471F71">
        <w:rPr>
          <w:sz w:val="24"/>
          <w:szCs w:val="24"/>
        </w:rPr>
        <w:t>Iepirkuma identifikācijas Nr.: VPR/2012/01</w:t>
      </w:r>
    </w:p>
    <w:tbl>
      <w:tblPr>
        <w:tblW w:w="8613" w:type="dxa"/>
        <w:tblLook w:val="0000"/>
      </w:tblPr>
      <w:tblGrid>
        <w:gridCol w:w="5495"/>
        <w:gridCol w:w="1559"/>
        <w:gridCol w:w="1559"/>
      </w:tblGrid>
      <w:tr w:rsidR="000D5958" w:rsidRPr="003A175F" w:rsidTr="00141A8F">
        <w:trPr>
          <w:trHeight w:val="57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0D5958" w:rsidRPr="00471F71" w:rsidRDefault="000D5958" w:rsidP="00141A8F">
            <w:pPr>
              <w:jc w:val="center"/>
              <w:rPr>
                <w:rFonts w:ascii="Times New Roman" w:hAnsi="Times New Roman" w:cs="Times New Roman"/>
                <w:b/>
                <w:sz w:val="24"/>
                <w:szCs w:val="24"/>
              </w:rPr>
            </w:pPr>
            <w:r w:rsidRPr="00471F71">
              <w:rPr>
                <w:rFonts w:ascii="Times New Roman" w:hAnsi="Times New Roman" w:cs="Times New Roman"/>
                <w:b/>
                <w:sz w:val="24"/>
                <w:szCs w:val="24"/>
              </w:rPr>
              <w:t>Pozīcijas nosaukums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5958" w:rsidRPr="00471F71" w:rsidRDefault="000D5958" w:rsidP="003B70AA">
            <w:pPr>
              <w:spacing w:line="240" w:lineRule="auto"/>
              <w:jc w:val="center"/>
              <w:rPr>
                <w:rFonts w:ascii="Times New Roman" w:hAnsi="Times New Roman" w:cs="Times New Roman"/>
                <w:b/>
                <w:bCs/>
                <w:sz w:val="24"/>
                <w:szCs w:val="24"/>
              </w:rPr>
            </w:pPr>
            <w:r w:rsidRPr="00471F71">
              <w:rPr>
                <w:rFonts w:ascii="Times New Roman" w:hAnsi="Times New Roman" w:cs="Times New Roman"/>
                <w:b/>
                <w:bCs/>
                <w:sz w:val="24"/>
                <w:szCs w:val="24"/>
              </w:rPr>
              <w:t>(Ls bez PVN)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5958" w:rsidRPr="00471F71" w:rsidRDefault="000D5958" w:rsidP="00141A8F">
            <w:pPr>
              <w:jc w:val="center"/>
              <w:rPr>
                <w:rFonts w:ascii="Times New Roman" w:hAnsi="Times New Roman" w:cs="Times New Roman"/>
                <w:b/>
                <w:bCs/>
                <w:sz w:val="24"/>
                <w:szCs w:val="24"/>
              </w:rPr>
            </w:pPr>
            <w:r w:rsidRPr="00471F71">
              <w:rPr>
                <w:rFonts w:ascii="Times New Roman" w:hAnsi="Times New Roman" w:cs="Times New Roman"/>
                <w:b/>
                <w:bCs/>
                <w:sz w:val="24"/>
                <w:szCs w:val="24"/>
              </w:rPr>
              <w:t>(Ls ar PVN)</w:t>
            </w:r>
          </w:p>
        </w:tc>
      </w:tr>
      <w:tr w:rsidR="000D5958" w:rsidRPr="003A175F" w:rsidTr="00141A8F">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1. Avio biļešu:</w:t>
            </w:r>
            <w:r>
              <w:rPr>
                <w:rFonts w:ascii="Times New Roman" w:hAnsi="Times New Roman" w:cs="Times New Roman"/>
                <w:b/>
                <w:sz w:val="24"/>
                <w:szCs w:val="24"/>
              </w:rPr>
              <w:t xml:space="preserve"> </w:t>
            </w:r>
            <w:r w:rsidRPr="0033797A">
              <w:rPr>
                <w:rFonts w:ascii="Times New Roman" w:hAnsi="Times New Roman" w:cs="Times New Roman"/>
                <w:sz w:val="24"/>
                <w:szCs w:val="24"/>
                <w:highlight w:val="lightGray"/>
              </w:rPr>
              <w:t>( pakalpojumu cena vienai biļetei)</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3B70AA">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 xml:space="preserve">1.1. Tiešā avioreisa (turp un atpakaļ)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3B70A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3B70A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3B70A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3B70A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81"/>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3B70A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1.2. Lidojuma ar pārsēšanos (turp un atpakaļ)</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61"/>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2. Kuģu, prāmju biļešu:</w:t>
            </w:r>
            <w:r>
              <w:rPr>
                <w:rFonts w:ascii="Times New Roman" w:hAnsi="Times New Roman" w:cs="Times New Roman"/>
                <w:b/>
                <w:sz w:val="24"/>
                <w:szCs w:val="24"/>
              </w:rPr>
              <w:t xml:space="preserve"> </w:t>
            </w:r>
            <w:r w:rsidRPr="0033797A">
              <w:rPr>
                <w:rFonts w:ascii="Times New Roman" w:hAnsi="Times New Roman" w:cs="Times New Roman"/>
                <w:sz w:val="24"/>
                <w:szCs w:val="24"/>
                <w:highlight w:val="lightGray"/>
              </w:rPr>
              <w:t>( pakalpojumu cena vienai biļetei)</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297"/>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3. Dzelzceļa biļešu:</w:t>
            </w:r>
            <w:r>
              <w:rPr>
                <w:rFonts w:ascii="Times New Roman" w:hAnsi="Times New Roman" w:cs="Times New Roman"/>
                <w:b/>
                <w:sz w:val="24"/>
                <w:szCs w:val="24"/>
              </w:rPr>
              <w:t xml:space="preserve"> </w:t>
            </w:r>
            <w:r w:rsidRPr="0033797A">
              <w:rPr>
                <w:rFonts w:ascii="Times New Roman" w:hAnsi="Times New Roman" w:cs="Times New Roman"/>
                <w:sz w:val="24"/>
                <w:szCs w:val="24"/>
                <w:highlight w:val="lightGray"/>
              </w:rPr>
              <w:t>(pakalpojumu cena vienai biļetei)</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lastRenderedPageBreak/>
              <w:t>-          noformēšana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415"/>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4. Auto</w:t>
            </w:r>
            <w:r>
              <w:rPr>
                <w:rFonts w:ascii="Times New Roman" w:hAnsi="Times New Roman" w:cs="Times New Roman"/>
                <w:b/>
                <w:sz w:val="24"/>
                <w:szCs w:val="24"/>
              </w:rPr>
              <w:t>busu</w:t>
            </w:r>
            <w:r w:rsidRPr="007C2AA8">
              <w:rPr>
                <w:rFonts w:ascii="Times New Roman" w:hAnsi="Times New Roman" w:cs="Times New Roman"/>
                <w:b/>
                <w:sz w:val="24"/>
                <w:szCs w:val="24"/>
              </w:rPr>
              <w:t xml:space="preserve"> pārvadājumu biļešu: </w:t>
            </w:r>
            <w:r w:rsidRPr="0033797A">
              <w:rPr>
                <w:rFonts w:ascii="Times New Roman" w:hAnsi="Times New Roman" w:cs="Times New Roman"/>
                <w:sz w:val="24"/>
                <w:szCs w:val="24"/>
                <w:highlight w:val="lightGray"/>
              </w:rPr>
              <w:t>( pakalpojumu cena vienai biļetei)</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42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6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5. Viesnīcu rezervēšanas, noformēšanas, maiņas vai anulēšanas pakalpojuma cena</w:t>
            </w:r>
            <w:r>
              <w:rPr>
                <w:rFonts w:ascii="Times New Roman" w:hAnsi="Times New Roman" w:cs="Times New Roman"/>
                <w:b/>
                <w:sz w:val="24"/>
                <w:szCs w:val="24"/>
              </w:rPr>
              <w:t xml:space="preserve"> </w:t>
            </w:r>
            <w:r w:rsidRPr="000A20C6">
              <w:rPr>
                <w:rFonts w:ascii="Times New Roman" w:hAnsi="Times New Roman" w:cs="Times New Roman"/>
                <w:sz w:val="24"/>
                <w:szCs w:val="24"/>
                <w:highlight w:val="lightGray"/>
              </w:rPr>
              <w:t>(par 1 viesnīcas numuru)</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603A3A">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427"/>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427"/>
        </w:trPr>
        <w:tc>
          <w:tcPr>
            <w:tcW w:w="5495" w:type="dxa"/>
            <w:tcBorders>
              <w:top w:val="nil"/>
              <w:left w:val="single" w:sz="4" w:space="0" w:color="auto"/>
              <w:bottom w:val="single" w:sz="4" w:space="0" w:color="auto"/>
              <w:right w:val="single" w:sz="4" w:space="0" w:color="auto"/>
            </w:tcBorders>
            <w:shd w:val="clear" w:color="auto" w:fill="auto"/>
          </w:tcPr>
          <w:p w:rsidR="000D5958" w:rsidRPr="00840D1D" w:rsidRDefault="000D5958" w:rsidP="00141A8F">
            <w:pPr>
              <w:spacing w:after="0" w:line="240" w:lineRule="auto"/>
              <w:rPr>
                <w:rFonts w:ascii="Times New Roman" w:hAnsi="Times New Roman" w:cs="Times New Roman"/>
                <w:b/>
                <w:sz w:val="24"/>
                <w:szCs w:val="24"/>
              </w:rPr>
            </w:pPr>
            <w:r w:rsidRPr="00840D1D">
              <w:rPr>
                <w:rFonts w:ascii="Times New Roman" w:hAnsi="Times New Roman" w:cs="Times New Roman"/>
                <w:b/>
                <w:sz w:val="24"/>
                <w:szCs w:val="24"/>
              </w:rPr>
              <w:t>6.</w:t>
            </w:r>
            <w:r w:rsidRPr="00840D1D">
              <w:rPr>
                <w:rFonts w:ascii="Times New Roman" w:hAnsi="Times New Roman" w:cs="Times New Roman"/>
                <w:b/>
                <w:bCs/>
                <w:sz w:val="24"/>
                <w:szCs w:val="24"/>
              </w:rPr>
              <w:t xml:space="preserve"> Auto nomas rezerv</w:t>
            </w:r>
            <w:r w:rsidRPr="00840D1D">
              <w:rPr>
                <w:rFonts w:ascii="Times New Roman" w:hAnsi="Times New Roman" w:cs="Times New Roman"/>
                <w:b/>
                <w:sz w:val="24"/>
                <w:szCs w:val="24"/>
              </w:rPr>
              <w:t>ē</w:t>
            </w:r>
            <w:r w:rsidRPr="00840D1D">
              <w:rPr>
                <w:rFonts w:ascii="Times New Roman" w:hAnsi="Times New Roman" w:cs="Times New Roman"/>
                <w:b/>
                <w:bCs/>
                <w:sz w:val="24"/>
                <w:szCs w:val="24"/>
              </w:rPr>
              <w:t>šana</w:t>
            </w:r>
            <w:r>
              <w:rPr>
                <w:rFonts w:ascii="Times New Roman" w:hAnsi="Times New Roman" w:cs="Times New Roman"/>
                <w:b/>
                <w:bCs/>
                <w:sz w:val="24"/>
                <w:szCs w:val="24"/>
              </w:rPr>
              <w:t xml:space="preserve"> </w:t>
            </w:r>
            <w:r w:rsidRPr="000A20C6">
              <w:rPr>
                <w:rFonts w:ascii="Times New Roman" w:hAnsi="Times New Roman" w:cs="Times New Roman"/>
                <w:bCs/>
                <w:sz w:val="20"/>
                <w:szCs w:val="20"/>
                <w:highlight w:val="lightGray"/>
              </w:rPr>
              <w:t>(1 auto)</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p>
        </w:tc>
      </w:tr>
      <w:tr w:rsidR="000D5958" w:rsidRPr="003A175F" w:rsidTr="00141A8F">
        <w:trPr>
          <w:trHeight w:val="427"/>
        </w:trPr>
        <w:tc>
          <w:tcPr>
            <w:tcW w:w="5495" w:type="dxa"/>
            <w:tcBorders>
              <w:top w:val="nil"/>
              <w:left w:val="single" w:sz="4" w:space="0" w:color="auto"/>
              <w:bottom w:val="single" w:sz="4" w:space="0" w:color="auto"/>
              <w:right w:val="single" w:sz="4" w:space="0" w:color="auto"/>
            </w:tcBorders>
            <w:shd w:val="clear" w:color="auto" w:fill="auto"/>
          </w:tcPr>
          <w:p w:rsidR="000D5958" w:rsidRPr="000A20C6" w:rsidRDefault="000D5958" w:rsidP="00141A8F">
            <w:pPr>
              <w:spacing w:after="0" w:line="240" w:lineRule="auto"/>
              <w:rPr>
                <w:rFonts w:ascii="Times New Roman" w:hAnsi="Times New Roman" w:cs="Times New Roman"/>
                <w:sz w:val="24"/>
                <w:szCs w:val="24"/>
              </w:rPr>
            </w:pPr>
            <w:r w:rsidRPr="00840D1D">
              <w:rPr>
                <w:rFonts w:ascii="Times New Roman" w:hAnsi="Times New Roman" w:cs="Times New Roman"/>
                <w:b/>
                <w:sz w:val="24"/>
                <w:szCs w:val="24"/>
              </w:rPr>
              <w:t>7.Autobusu (mikroautobusu) noma atbilstoši brauciena grupas dalībnieku skaitam</w:t>
            </w:r>
            <w:r>
              <w:rPr>
                <w:rFonts w:ascii="Times New Roman" w:hAnsi="Times New Roman" w:cs="Times New Roman"/>
                <w:b/>
                <w:sz w:val="24"/>
                <w:szCs w:val="24"/>
              </w:rPr>
              <w:t xml:space="preserve"> </w:t>
            </w:r>
            <w:r w:rsidRPr="000A20C6">
              <w:rPr>
                <w:rFonts w:ascii="Times New Roman" w:hAnsi="Times New Roman" w:cs="Times New Roman"/>
                <w:sz w:val="20"/>
                <w:szCs w:val="20"/>
                <w:highlight w:val="lightGray"/>
              </w:rPr>
              <w:t>(1 autobuss)</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E12836" w:rsidP="00141A8F">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0D5958" w:rsidRPr="007C2AA8">
              <w:rPr>
                <w:rFonts w:ascii="Times New Roman" w:hAnsi="Times New Roman" w:cs="Times New Roman"/>
                <w:b/>
                <w:sz w:val="24"/>
                <w:szCs w:val="24"/>
              </w:rPr>
              <w:t xml:space="preserve">. Brauciena apdrošināšana </w:t>
            </w:r>
            <w:r w:rsidR="000D5958">
              <w:rPr>
                <w:rFonts w:ascii="Times New Roman" w:hAnsi="Times New Roman" w:cs="Times New Roman"/>
                <w:b/>
                <w:sz w:val="24"/>
                <w:szCs w:val="24"/>
              </w:rPr>
              <w:t>(</w:t>
            </w:r>
            <w:r w:rsidR="000D5958" w:rsidRPr="000A20C6">
              <w:rPr>
                <w:rFonts w:ascii="Times New Roman" w:hAnsi="Times New Roman" w:cs="Times New Roman"/>
                <w:sz w:val="20"/>
                <w:szCs w:val="20"/>
                <w:highlight w:val="lightGray"/>
              </w:rPr>
              <w:t>viena</w:t>
            </w:r>
            <w:r w:rsidR="000D5958" w:rsidRPr="000A20C6">
              <w:rPr>
                <w:rFonts w:ascii="Times New Roman" w:hAnsi="Times New Roman" w:cs="Times New Roman"/>
                <w:b/>
                <w:sz w:val="24"/>
                <w:szCs w:val="24"/>
                <w:highlight w:val="lightGray"/>
              </w:rPr>
              <w:t xml:space="preserve">  </w:t>
            </w:r>
            <w:r w:rsidR="000D5958" w:rsidRPr="000A20C6">
              <w:rPr>
                <w:rFonts w:ascii="Times" w:hAnsi="Times"/>
                <w:sz w:val="20"/>
                <w:szCs w:val="20"/>
                <w:highlight w:val="lightGray"/>
              </w:rPr>
              <w:t>polise 1 personai</w:t>
            </w:r>
            <w:r w:rsidR="000D5958" w:rsidRPr="003A175F">
              <w:t> </w:t>
            </w:r>
            <w:r w:rsidR="000D5958" w:rsidRPr="0094194B">
              <w:rPr>
                <w:rFonts w:ascii="Times New Roman" w:hAnsi="Times New Roman" w:cs="Times New Roman"/>
                <w:sz w:val="20"/>
                <w:szCs w:val="20"/>
                <w:highlight w:val="lightGray"/>
              </w:rPr>
              <w:t>visa pasaule</w:t>
            </w:r>
            <w:r w:rsidR="000D5958">
              <w:t>)</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E12836" w:rsidP="00141A8F">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0D5958" w:rsidRPr="007C2AA8">
              <w:rPr>
                <w:rFonts w:ascii="Times New Roman" w:hAnsi="Times New Roman" w:cs="Times New Roman"/>
                <w:b/>
                <w:sz w:val="24"/>
                <w:szCs w:val="24"/>
              </w:rPr>
              <w:t xml:space="preserve">. Vīzu noformēšana </w:t>
            </w:r>
            <w:r w:rsidR="000D5958" w:rsidRPr="000A20C6">
              <w:rPr>
                <w:rFonts w:ascii="Times New Roman" w:hAnsi="Times New Roman" w:cs="Times New Roman"/>
                <w:b/>
                <w:sz w:val="20"/>
                <w:szCs w:val="20"/>
              </w:rPr>
              <w:t>(</w:t>
            </w:r>
            <w:r w:rsidR="000D5958" w:rsidRPr="000A20C6">
              <w:rPr>
                <w:rFonts w:ascii="Times New Roman" w:hAnsi="Times New Roman" w:cs="Times New Roman"/>
                <w:sz w:val="20"/>
                <w:szCs w:val="20"/>
              </w:rPr>
              <w:t>Vienas vīzas noformēšana un piegāde)</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9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E12836" w:rsidP="00141A8F">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t>10</w:t>
            </w:r>
            <w:r w:rsidR="000D5958" w:rsidRPr="007C2AA8">
              <w:rPr>
                <w:rFonts w:ascii="Times New Roman" w:hAnsi="Times New Roman" w:cs="Times New Roman"/>
                <w:b/>
                <w:noProof/>
                <w:sz w:val="24"/>
                <w:szCs w:val="24"/>
              </w:rPr>
              <w:t>. Pakalpojuma cena par komandējuma dokumentu (biļetes, apdrošināšana, vīzas,</w:t>
            </w:r>
            <w:r w:rsidR="000D5958">
              <w:rPr>
                <w:rFonts w:ascii="Times New Roman" w:hAnsi="Times New Roman" w:cs="Times New Roman"/>
                <w:b/>
                <w:noProof/>
                <w:sz w:val="24"/>
                <w:szCs w:val="24"/>
              </w:rPr>
              <w:t xml:space="preserve"> viesnīcas vaučeri u.c.) piegādi</w:t>
            </w:r>
            <w:r w:rsidR="000D5958" w:rsidRPr="007C2AA8">
              <w:rPr>
                <w:rFonts w:ascii="Times New Roman" w:hAnsi="Times New Roman" w:cs="Times New Roman"/>
                <w:b/>
                <w:noProof/>
                <w:sz w:val="24"/>
                <w:szCs w:val="24"/>
              </w:rPr>
              <w:t xml:space="preserve"> uz pasūtītāja biroju</w:t>
            </w:r>
            <w:r w:rsidR="000D5958">
              <w:rPr>
                <w:rFonts w:ascii="Times New Roman" w:hAnsi="Times New Roman" w:cs="Times New Roman"/>
                <w:b/>
                <w:noProof/>
                <w:sz w:val="24"/>
                <w:szCs w:val="24"/>
              </w:rPr>
              <w:t xml:space="preserve"> </w:t>
            </w:r>
            <w:r w:rsidR="000D5958" w:rsidRPr="000A20C6">
              <w:rPr>
                <w:rFonts w:ascii="Times New Roman" w:hAnsi="Times New Roman" w:cs="Times New Roman"/>
                <w:noProof/>
                <w:sz w:val="20"/>
                <w:szCs w:val="20"/>
                <w:highlight w:val="lightGray"/>
              </w:rPr>
              <w:t>(cena par vienu piegādi)</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r w:rsidR="000D5958" w:rsidRPr="003A175F" w:rsidTr="00141A8F">
        <w:trPr>
          <w:trHeight w:val="300"/>
        </w:trPr>
        <w:tc>
          <w:tcPr>
            <w:tcW w:w="5495" w:type="dxa"/>
            <w:tcBorders>
              <w:top w:val="nil"/>
              <w:left w:val="single" w:sz="4" w:space="0" w:color="auto"/>
              <w:bottom w:val="single" w:sz="4" w:space="0" w:color="auto"/>
              <w:right w:val="single" w:sz="4" w:space="0" w:color="auto"/>
            </w:tcBorders>
            <w:shd w:val="clear" w:color="auto" w:fill="auto"/>
          </w:tcPr>
          <w:p w:rsidR="000D5958" w:rsidRPr="007C2AA8" w:rsidRDefault="000D5958" w:rsidP="00141A8F">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Kopā</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0D5958" w:rsidRPr="003A175F" w:rsidRDefault="000D5958" w:rsidP="00141A8F">
            <w:pPr>
              <w:jc w:val="center"/>
            </w:pPr>
            <w:r w:rsidRPr="003A175F">
              <w:t> </w:t>
            </w:r>
          </w:p>
        </w:tc>
      </w:tr>
    </w:tbl>
    <w:p w:rsidR="000D5958" w:rsidRPr="00840D1D" w:rsidRDefault="000D5958" w:rsidP="000D5958">
      <w:pPr>
        <w:pStyle w:val="ListParagraph"/>
        <w:numPr>
          <w:ilvl w:val="0"/>
          <w:numId w:val="1"/>
        </w:numPr>
        <w:rPr>
          <w:rFonts w:ascii="Times New Roman" w:hAnsi="Times New Roman"/>
          <w:highlight w:val="lightGray"/>
        </w:rPr>
      </w:pPr>
      <w:r w:rsidRPr="00840D1D">
        <w:rPr>
          <w:rFonts w:ascii="Times New Roman" w:hAnsi="Times New Roman"/>
          <w:highlight w:val="lightGray"/>
        </w:rPr>
        <w:t>Ja maksa par pakalpojumu ir atkarīga no personu skaita</w:t>
      </w:r>
      <w:r>
        <w:rPr>
          <w:rFonts w:ascii="Times New Roman" w:hAnsi="Times New Roman"/>
          <w:highlight w:val="lightGray"/>
        </w:rPr>
        <w:t xml:space="preserve"> vai kādas konkrētas valsts atšķirībām</w:t>
      </w:r>
      <w:r w:rsidRPr="00840D1D">
        <w:rPr>
          <w:rFonts w:ascii="Times New Roman" w:hAnsi="Times New Roman"/>
          <w:highlight w:val="lightGray"/>
        </w:rPr>
        <w:t>, lūdzam norādīt katru variantu atsevišķi.</w:t>
      </w:r>
    </w:p>
    <w:p w:rsidR="000D5958" w:rsidRPr="00840D1D" w:rsidRDefault="000D5958" w:rsidP="000D5958">
      <w:pPr>
        <w:pStyle w:val="ListParagraph"/>
        <w:numPr>
          <w:ilvl w:val="0"/>
          <w:numId w:val="1"/>
        </w:numPr>
        <w:rPr>
          <w:rFonts w:ascii="Times New Roman" w:hAnsi="Times New Roman"/>
          <w:highlight w:val="lightGray"/>
        </w:rPr>
      </w:pPr>
      <w:r w:rsidRPr="00840D1D">
        <w:rPr>
          <w:rFonts w:ascii="Times New Roman" w:hAnsi="Times New Roman"/>
          <w:highlight w:val="lightGray"/>
        </w:rPr>
        <w:t>Finanšu piedāvājuma  pozīcijās nedrīkst norādīt nulli („0”)</w:t>
      </w:r>
      <w:r>
        <w:rPr>
          <w:rFonts w:ascii="Times New Roman" w:hAnsi="Times New Roman"/>
          <w:highlight w:val="lightGray"/>
        </w:rPr>
        <w:t xml:space="preserve"> vai nenorādīt izmaksu lielumu (neaizpildītas pozīcijas)!</w:t>
      </w:r>
      <w:r w:rsidRPr="00840D1D">
        <w:rPr>
          <w:rFonts w:ascii="Times New Roman" w:hAnsi="Times New Roman"/>
          <w:highlight w:val="lightGray"/>
        </w:rPr>
        <w:t>Šādi piedāvājumi tiks izslēgti no vērtēšanas un  noraidīti.</w:t>
      </w:r>
    </w:p>
    <w:p w:rsidR="000D5958" w:rsidRPr="000D5958" w:rsidRDefault="000D5958" w:rsidP="000D5958">
      <w:pPr>
        <w:spacing w:line="360" w:lineRule="auto"/>
        <w:rPr>
          <w:rFonts w:ascii="Times New Roman" w:eastAsia="Times New Roman" w:hAnsi="Times New Roman" w:cs="Times New Roman"/>
          <w:b/>
          <w:sz w:val="32"/>
          <w:szCs w:val="32"/>
          <w:lang w:eastAsia="lv-LV"/>
        </w:rPr>
      </w:pPr>
      <w:r w:rsidRPr="00471F71">
        <w:rPr>
          <w:rFonts w:ascii="Times New Roman" w:hAnsi="Times New Roman" w:cs="Times New Roman"/>
          <w:sz w:val="23"/>
          <w:szCs w:val="23"/>
          <w:highlight w:val="lightGray"/>
        </w:rPr>
        <w:t>Uz</w:t>
      </w:r>
      <w:r w:rsidRPr="00471F71">
        <w:rPr>
          <w:rFonts w:ascii="TT646o00" w:hAnsi="TT646o00" w:cs="TT646o00"/>
          <w:sz w:val="23"/>
          <w:szCs w:val="23"/>
          <w:highlight w:val="lightGray"/>
        </w:rPr>
        <w:t>ņē</w:t>
      </w:r>
      <w:r w:rsidRPr="00471F71">
        <w:rPr>
          <w:rFonts w:ascii="Times New Roman" w:hAnsi="Times New Roman" w:cs="Times New Roman"/>
          <w:sz w:val="23"/>
          <w:szCs w:val="23"/>
          <w:highlight w:val="lightGray"/>
        </w:rPr>
        <w:t>muma vad</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ja vai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pilnvarot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s personas paraksts,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atšifr</w:t>
      </w:r>
      <w:r w:rsidRPr="00471F71">
        <w:rPr>
          <w:rFonts w:ascii="TT646o00" w:hAnsi="TT646o00" w:cs="TT646o00"/>
          <w:sz w:val="23"/>
          <w:szCs w:val="23"/>
          <w:highlight w:val="lightGray"/>
        </w:rPr>
        <w:t>ē</w:t>
      </w:r>
      <w:r w:rsidRPr="00471F71">
        <w:rPr>
          <w:rFonts w:ascii="Times New Roman" w:hAnsi="Times New Roman" w:cs="Times New Roman"/>
          <w:sz w:val="23"/>
          <w:szCs w:val="23"/>
          <w:highlight w:val="lightGray"/>
        </w:rPr>
        <w:t>jums, z</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mogs.</w:t>
      </w:r>
    </w:p>
    <w:p w:rsidR="000D5958" w:rsidRPr="0033797A" w:rsidRDefault="000D5958" w:rsidP="000D5958">
      <w:pPr>
        <w:jc w:val="right"/>
      </w:pPr>
      <w:r w:rsidRPr="007C2AA8">
        <w:rPr>
          <w:rFonts w:ascii="Times New Roman" w:hAnsi="Times New Roman" w:cs="Times New Roman"/>
          <w:b/>
          <w:sz w:val="32"/>
          <w:szCs w:val="32"/>
        </w:rPr>
        <w:lastRenderedPageBreak/>
        <w:t>Pielikums Nr.5.</w:t>
      </w:r>
    </w:p>
    <w:p w:rsidR="000D5958" w:rsidRDefault="000D5958" w:rsidP="003B70AA">
      <w:pPr>
        <w:spacing w:after="0" w:line="240" w:lineRule="auto"/>
        <w:ind w:left="357" w:hanging="357"/>
        <w:jc w:val="center"/>
        <w:rPr>
          <w:rFonts w:ascii="Times New Roman" w:eastAsia="Calibri" w:hAnsi="Times New Roman" w:cs="Times New Roman"/>
          <w:b/>
          <w:caps/>
          <w:sz w:val="24"/>
          <w:szCs w:val="24"/>
        </w:rPr>
      </w:pPr>
      <w:r w:rsidRPr="00305E6C">
        <w:rPr>
          <w:rFonts w:ascii="Times New Roman" w:eastAsia="Calibri" w:hAnsi="Times New Roman" w:cs="Times New Roman"/>
          <w:b/>
          <w:caps/>
          <w:sz w:val="24"/>
          <w:szCs w:val="24"/>
        </w:rPr>
        <w:t xml:space="preserve">Tehniskā piedāvājuma FORMA </w:t>
      </w:r>
    </w:p>
    <w:p w:rsidR="003B70AA" w:rsidRPr="003B70AA" w:rsidRDefault="003B70AA" w:rsidP="003B70AA">
      <w:pPr>
        <w:pStyle w:val="naislab"/>
        <w:shd w:val="clear" w:color="auto" w:fill="FFFFFF"/>
        <w:spacing w:before="0" w:beforeAutospacing="0" w:after="0" w:afterAutospacing="0"/>
        <w:jc w:val="center"/>
        <w:rPr>
          <w:b/>
        </w:rPr>
      </w:pPr>
      <w:r w:rsidRPr="003B70AA">
        <w:rPr>
          <w:b/>
        </w:rPr>
        <w:t>(precizēta ar 20.02.2012.Iepirkumu komisijas lēmumu)</w:t>
      </w:r>
    </w:p>
    <w:p w:rsidR="000D5958" w:rsidRPr="00305E6C" w:rsidRDefault="000D5958" w:rsidP="000D5958">
      <w:pPr>
        <w:spacing w:after="0" w:line="240" w:lineRule="auto"/>
        <w:jc w:val="center"/>
        <w:rPr>
          <w:rFonts w:ascii="Times New Roman" w:hAnsi="Times New Roman" w:cs="Times New Roman"/>
          <w:smallCaps/>
          <w:color w:val="353535"/>
          <w:sz w:val="24"/>
          <w:szCs w:val="24"/>
        </w:rPr>
      </w:pPr>
      <w:r>
        <w:rPr>
          <w:rFonts w:ascii="Times New Roman" w:hAnsi="Times New Roman" w:cs="Times New Roman"/>
          <w:sz w:val="24"/>
          <w:szCs w:val="24"/>
        </w:rPr>
        <w:t>I</w:t>
      </w:r>
      <w:r w:rsidRPr="00305E6C">
        <w:rPr>
          <w:rFonts w:ascii="Times New Roman" w:hAnsi="Times New Roman" w:cs="Times New Roman"/>
          <w:sz w:val="24"/>
          <w:szCs w:val="24"/>
        </w:rPr>
        <w:t xml:space="preserve">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0D5958" w:rsidRPr="007C2AA8" w:rsidRDefault="000D5958" w:rsidP="000D5958">
      <w:pPr>
        <w:pStyle w:val="Heading9"/>
        <w:keepNext w:val="0"/>
        <w:widowControl/>
        <w:autoSpaceDE/>
        <w:rPr>
          <w:sz w:val="24"/>
          <w:szCs w:val="24"/>
        </w:rPr>
      </w:pPr>
      <w:r w:rsidRPr="00471F71">
        <w:rPr>
          <w:sz w:val="24"/>
          <w:szCs w:val="24"/>
        </w:rPr>
        <w:t>Iepirkuma identifikācijas Nr.: VPR/2012/01</w:t>
      </w:r>
    </w:p>
    <w:tbl>
      <w:tblPr>
        <w:tblStyle w:val="TableGrid"/>
        <w:tblW w:w="9322" w:type="dxa"/>
        <w:tblLayout w:type="fixed"/>
        <w:tblLook w:val="04A0"/>
      </w:tblPr>
      <w:tblGrid>
        <w:gridCol w:w="959"/>
        <w:gridCol w:w="6237"/>
        <w:gridCol w:w="2126"/>
      </w:tblGrid>
      <w:tr w:rsidR="000D5958" w:rsidRPr="006F09B6" w:rsidTr="00141A8F">
        <w:tc>
          <w:tcPr>
            <w:tcW w:w="959" w:type="dxa"/>
          </w:tcPr>
          <w:p w:rsidR="000D5958" w:rsidRPr="00A76533" w:rsidRDefault="000D5958" w:rsidP="00141A8F">
            <w:pPr>
              <w:pStyle w:val="NormalWeb"/>
              <w:tabs>
                <w:tab w:val="left" w:pos="720"/>
              </w:tabs>
              <w:rPr>
                <w:b/>
                <w:color w:val="auto"/>
                <w:lang w:val="lv-LV"/>
              </w:rPr>
            </w:pPr>
            <w:r w:rsidRPr="00A76533">
              <w:rPr>
                <w:b/>
                <w:color w:val="auto"/>
                <w:lang w:val="lv-LV"/>
              </w:rPr>
              <w:t>Nr.p.k.</w:t>
            </w:r>
          </w:p>
        </w:tc>
        <w:tc>
          <w:tcPr>
            <w:tcW w:w="6237" w:type="dxa"/>
          </w:tcPr>
          <w:p w:rsidR="000D5958" w:rsidRPr="00A76533" w:rsidRDefault="000D5958" w:rsidP="00141A8F">
            <w:pPr>
              <w:pStyle w:val="NormalWeb"/>
              <w:tabs>
                <w:tab w:val="left" w:pos="720"/>
              </w:tabs>
              <w:jc w:val="both"/>
              <w:rPr>
                <w:b/>
                <w:color w:val="auto"/>
                <w:lang w:val="lv-LV"/>
              </w:rPr>
            </w:pPr>
            <w:r w:rsidRPr="00A76533">
              <w:rPr>
                <w:b/>
                <w:color w:val="auto"/>
                <w:lang w:val="lv-LV"/>
              </w:rPr>
              <w:t>Prasības pakalpojumam</w:t>
            </w:r>
          </w:p>
        </w:tc>
        <w:tc>
          <w:tcPr>
            <w:tcW w:w="2126" w:type="dxa"/>
          </w:tcPr>
          <w:p w:rsidR="000D5958" w:rsidRPr="00A76533" w:rsidRDefault="000D5958" w:rsidP="00141A8F">
            <w:pPr>
              <w:pStyle w:val="NormalWeb"/>
              <w:tabs>
                <w:tab w:val="left" w:pos="720"/>
              </w:tabs>
              <w:jc w:val="both"/>
              <w:rPr>
                <w:b/>
                <w:color w:val="auto"/>
                <w:lang w:val="lv-LV"/>
              </w:rPr>
            </w:pPr>
            <w:r w:rsidRPr="00A76533">
              <w:rPr>
                <w:b/>
                <w:color w:val="auto"/>
                <w:lang w:val="lv-LV"/>
              </w:rPr>
              <w:t>Pretendenta piedāvājums</w:t>
            </w: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sidRPr="006F09B6">
              <w:rPr>
                <w:color w:val="auto"/>
                <w:lang w:val="lv-LV"/>
              </w:rPr>
              <w:t>1.</w:t>
            </w:r>
          </w:p>
        </w:tc>
        <w:tc>
          <w:tcPr>
            <w:tcW w:w="6237" w:type="dxa"/>
          </w:tcPr>
          <w:p w:rsidR="000D5958" w:rsidRPr="006F09B6" w:rsidRDefault="000D5958" w:rsidP="00141A8F">
            <w:pPr>
              <w:pStyle w:val="NormalWeb"/>
              <w:tabs>
                <w:tab w:val="left" w:pos="720"/>
              </w:tabs>
              <w:spacing w:before="0"/>
              <w:jc w:val="both"/>
              <w:rPr>
                <w:color w:val="auto"/>
                <w:lang w:val="lv-LV"/>
              </w:rPr>
            </w:pPr>
            <w:r w:rsidRPr="006F09B6">
              <w:rPr>
                <w:color w:val="auto"/>
                <w:lang w:val="lv-LV"/>
              </w:rPr>
              <w:t>Biļešu rezervēšana, noformēšana, maiņa vai anulēšana šādiem transporta veidiem:</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Aviotransports;</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Autotransports;</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Dzelzceļa transports;</w:t>
            </w:r>
          </w:p>
          <w:p w:rsidR="000D5958" w:rsidRPr="006F09B6" w:rsidRDefault="000D5958" w:rsidP="000D5958">
            <w:pPr>
              <w:pStyle w:val="NormalWeb"/>
              <w:numPr>
                <w:ilvl w:val="0"/>
                <w:numId w:val="1"/>
              </w:numPr>
              <w:tabs>
                <w:tab w:val="left" w:pos="720"/>
              </w:tabs>
              <w:spacing w:before="0"/>
              <w:jc w:val="both"/>
              <w:rPr>
                <w:color w:val="auto"/>
                <w:lang w:val="lv-LV"/>
              </w:rPr>
            </w:pPr>
            <w:r w:rsidRPr="006F09B6">
              <w:rPr>
                <w:color w:val="auto"/>
                <w:lang w:val="lv-LV"/>
              </w:rPr>
              <w:t>Ūdenstransports.</w:t>
            </w:r>
          </w:p>
        </w:tc>
        <w:tc>
          <w:tcPr>
            <w:tcW w:w="2126" w:type="dxa"/>
          </w:tcPr>
          <w:p w:rsidR="000D5958" w:rsidRPr="006F09B6" w:rsidRDefault="000D5958" w:rsidP="00141A8F">
            <w:pPr>
              <w:pStyle w:val="NormalWeb"/>
              <w:tabs>
                <w:tab w:val="left" w:pos="720"/>
              </w:tabs>
              <w:spacing w:before="0"/>
              <w:jc w:val="both"/>
              <w:rPr>
                <w:color w:val="auto"/>
                <w:lang w:val="lv-LV"/>
              </w:rPr>
            </w:pPr>
          </w:p>
        </w:tc>
      </w:tr>
      <w:tr w:rsidR="000D5958" w:rsidRPr="00772161"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2.</w:t>
            </w:r>
          </w:p>
        </w:tc>
        <w:tc>
          <w:tcPr>
            <w:tcW w:w="6237" w:type="dxa"/>
          </w:tcPr>
          <w:p w:rsidR="000D5958" w:rsidRPr="00772161" w:rsidRDefault="000D5958" w:rsidP="00141A8F">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 xml:space="preserve">nodrošina </w:t>
            </w:r>
            <w:r w:rsidRPr="0001510D">
              <w:rPr>
                <w:bCs/>
                <w:sz w:val="23"/>
                <w:szCs w:val="23"/>
                <w:lang w:val="lv-LV"/>
              </w:rPr>
              <w:t>auto nomas rezerv</w:t>
            </w:r>
            <w:r w:rsidRPr="0001510D">
              <w:rPr>
                <w:rFonts w:ascii="TT649o00" w:hAnsi="TT649o00" w:cs="TT649o00"/>
                <w:sz w:val="23"/>
                <w:szCs w:val="23"/>
                <w:lang w:val="lv-LV"/>
              </w:rPr>
              <w:t>ē</w:t>
            </w:r>
            <w:r w:rsidRPr="0001510D">
              <w:rPr>
                <w:bCs/>
                <w:sz w:val="23"/>
                <w:szCs w:val="23"/>
                <w:lang w:val="lv-LV"/>
              </w:rPr>
              <w:t>šana</w:t>
            </w:r>
          </w:p>
        </w:tc>
        <w:tc>
          <w:tcPr>
            <w:tcW w:w="2126" w:type="dxa"/>
          </w:tcPr>
          <w:p w:rsidR="000D5958" w:rsidRPr="00772161" w:rsidRDefault="000D5958" w:rsidP="00141A8F">
            <w:pPr>
              <w:pStyle w:val="NormalWeb"/>
              <w:tabs>
                <w:tab w:val="left" w:pos="720"/>
              </w:tabs>
              <w:jc w:val="both"/>
              <w:rPr>
                <w:sz w:val="23"/>
                <w:szCs w:val="23"/>
                <w:lang w:val="lv-LV"/>
              </w:rPr>
            </w:pPr>
          </w:p>
        </w:tc>
      </w:tr>
      <w:tr w:rsidR="000D5958" w:rsidRPr="00772161"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3.</w:t>
            </w:r>
          </w:p>
        </w:tc>
        <w:tc>
          <w:tcPr>
            <w:tcW w:w="6237" w:type="dxa"/>
          </w:tcPr>
          <w:p w:rsidR="000D5958" w:rsidRPr="00772161" w:rsidRDefault="000D5958" w:rsidP="00141A8F">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nodrošina</w:t>
            </w:r>
            <w:r>
              <w:rPr>
                <w:sz w:val="23"/>
                <w:szCs w:val="23"/>
                <w:lang w:val="lv-LV"/>
              </w:rPr>
              <w:t xml:space="preserve"> autobusu (mikroautobusu) noma atbilstoši brauciena grupas dalībnieku skaitam</w:t>
            </w:r>
          </w:p>
        </w:tc>
        <w:tc>
          <w:tcPr>
            <w:tcW w:w="2126" w:type="dxa"/>
          </w:tcPr>
          <w:p w:rsidR="000D5958" w:rsidRPr="00772161" w:rsidRDefault="000D5958" w:rsidP="00141A8F">
            <w:pPr>
              <w:pStyle w:val="NormalWeb"/>
              <w:tabs>
                <w:tab w:val="left" w:pos="720"/>
              </w:tabs>
              <w:jc w:val="both"/>
              <w:rPr>
                <w:sz w:val="23"/>
                <w:szCs w:val="23"/>
                <w:lang w:val="lv-LV"/>
              </w:rPr>
            </w:pPr>
          </w:p>
        </w:tc>
      </w:tr>
      <w:tr w:rsidR="000D5958" w:rsidRPr="00772161" w:rsidTr="00141A8F">
        <w:tc>
          <w:tcPr>
            <w:tcW w:w="959" w:type="dxa"/>
          </w:tcPr>
          <w:p w:rsidR="000D5958" w:rsidRDefault="000D5958" w:rsidP="00141A8F">
            <w:pPr>
              <w:pStyle w:val="NormalWeb"/>
              <w:tabs>
                <w:tab w:val="left" w:pos="720"/>
              </w:tabs>
              <w:jc w:val="both"/>
              <w:rPr>
                <w:color w:val="auto"/>
                <w:lang w:val="lv-LV"/>
              </w:rPr>
            </w:pPr>
            <w:r>
              <w:rPr>
                <w:color w:val="auto"/>
                <w:lang w:val="lv-LV"/>
              </w:rPr>
              <w:t>4.</w:t>
            </w:r>
          </w:p>
        </w:tc>
        <w:tc>
          <w:tcPr>
            <w:tcW w:w="6237" w:type="dxa"/>
          </w:tcPr>
          <w:p w:rsidR="000D5958" w:rsidRPr="00772161" w:rsidRDefault="000D5958" w:rsidP="00141A8F">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jāinformē P</w:t>
            </w:r>
            <w:r w:rsidRPr="006F09B6">
              <w:rPr>
                <w:color w:val="auto"/>
                <w:lang w:val="lv-LV"/>
              </w:rPr>
              <w:t>asūtītājs par visiem apdrošināšanas riskiem konkrētajā galamērķī un komandējuma laikā, jānodrošina ceļojuma apdrošināšanas noformēšana un jāinformē par tās izmantošanas nosacījumiem.</w:t>
            </w:r>
          </w:p>
        </w:tc>
        <w:tc>
          <w:tcPr>
            <w:tcW w:w="2126" w:type="dxa"/>
          </w:tcPr>
          <w:p w:rsidR="000D5958" w:rsidRPr="00772161" w:rsidRDefault="000D5958" w:rsidP="00141A8F">
            <w:pPr>
              <w:pStyle w:val="NormalWeb"/>
              <w:tabs>
                <w:tab w:val="left" w:pos="720"/>
              </w:tabs>
              <w:jc w:val="both"/>
              <w:rPr>
                <w:sz w:val="23"/>
                <w:szCs w:val="23"/>
                <w:lang w:val="lv-LV"/>
              </w:rPr>
            </w:pPr>
          </w:p>
        </w:tc>
      </w:tr>
      <w:tr w:rsidR="000D5958" w:rsidRPr="0001510D"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5.</w:t>
            </w:r>
          </w:p>
        </w:tc>
        <w:tc>
          <w:tcPr>
            <w:tcW w:w="6237" w:type="dxa"/>
          </w:tcPr>
          <w:p w:rsidR="000D5958" w:rsidRDefault="000D5958" w:rsidP="00141A8F">
            <w:pPr>
              <w:autoSpaceDE w:val="0"/>
              <w:autoSpaceDN w:val="0"/>
              <w:adjustRightInd w:val="0"/>
              <w:rPr>
                <w:rFonts w:ascii="Times New Roman" w:hAnsi="Times New Roman"/>
                <w:sz w:val="24"/>
                <w:szCs w:val="24"/>
              </w:rPr>
            </w:pPr>
            <w:r w:rsidRPr="0001510D">
              <w:rPr>
                <w:rFonts w:ascii="Times New Roman" w:hAnsi="Times New Roman"/>
                <w:sz w:val="24"/>
                <w:szCs w:val="24"/>
              </w:rPr>
              <w:t>Minimālās prasības ceļojuma apdrošināšanai:</w:t>
            </w:r>
          </w:p>
          <w:p w:rsidR="000D5958" w:rsidRPr="0033797A" w:rsidRDefault="000D5958" w:rsidP="00141A8F">
            <w:pPr>
              <w:autoSpaceDE w:val="0"/>
              <w:autoSpaceDN w:val="0"/>
              <w:adjustRightInd w:val="0"/>
              <w:rPr>
                <w:rFonts w:ascii="Times New Roman" w:hAnsi="Times New Roman"/>
                <w:sz w:val="24"/>
                <w:szCs w:val="24"/>
              </w:rPr>
            </w:pPr>
            <w:r>
              <w:rPr>
                <w:rFonts w:ascii="Times New Roman" w:hAnsi="Times New Roman"/>
                <w:color w:val="333333"/>
                <w:sz w:val="24"/>
                <w:szCs w:val="24"/>
              </w:rPr>
              <w:t>5.1.</w:t>
            </w:r>
            <w:r w:rsidRPr="0033797A">
              <w:rPr>
                <w:rFonts w:ascii="Times New Roman" w:hAnsi="Times New Roman"/>
                <w:color w:val="333333"/>
                <w:sz w:val="24"/>
                <w:szCs w:val="24"/>
              </w:rPr>
              <w:t>medicīniskās apdrošināšana un repatriācija</w:t>
            </w:r>
            <w:r>
              <w:rPr>
                <w:rFonts w:ascii="Times New Roman" w:hAnsi="Times New Roman"/>
                <w:color w:val="333333"/>
                <w:sz w:val="24"/>
                <w:szCs w:val="24"/>
              </w:rPr>
              <w:t>;</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5.2</w:t>
            </w:r>
            <w:r w:rsidRPr="0001510D">
              <w:rPr>
                <w:rFonts w:ascii="Times New Roman" w:hAnsi="Times New Roman"/>
                <w:sz w:val="24"/>
                <w:szCs w:val="24"/>
              </w:rPr>
              <w:t>. bagāžas nozaudēšana;</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5.3.bagāžas zādzība;</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5.4. bagāžas aizkavēšanās;</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5.5. lidojuma aizkavēšanās;</w:t>
            </w:r>
          </w:p>
          <w:p w:rsidR="000D5958" w:rsidRPr="0001510D" w:rsidRDefault="000D5958" w:rsidP="00141A8F">
            <w:pPr>
              <w:autoSpaceDE w:val="0"/>
              <w:autoSpaceDN w:val="0"/>
              <w:adjustRightInd w:val="0"/>
              <w:rPr>
                <w:rFonts w:ascii="Times New Roman" w:hAnsi="Times New Roman"/>
                <w:sz w:val="24"/>
                <w:szCs w:val="24"/>
              </w:rPr>
            </w:pPr>
            <w:r>
              <w:rPr>
                <w:rFonts w:ascii="Times New Roman" w:hAnsi="Times New Roman"/>
                <w:sz w:val="24"/>
                <w:szCs w:val="24"/>
              </w:rPr>
              <w:t>5.6.ceļojuma anulēšana;</w:t>
            </w:r>
          </w:p>
          <w:p w:rsidR="000D5958" w:rsidRPr="0001510D" w:rsidRDefault="000D5958" w:rsidP="00141A8F">
            <w:pPr>
              <w:autoSpaceDE w:val="0"/>
              <w:autoSpaceDN w:val="0"/>
              <w:adjustRightInd w:val="0"/>
              <w:rPr>
                <w:rFonts w:ascii="Times New Roman" w:hAnsi="Times New Roman"/>
                <w:sz w:val="23"/>
                <w:szCs w:val="23"/>
              </w:rPr>
            </w:pPr>
            <w:r>
              <w:rPr>
                <w:rFonts w:ascii="Times New Roman" w:hAnsi="Times New Roman"/>
                <w:sz w:val="24"/>
                <w:szCs w:val="24"/>
              </w:rPr>
              <w:t>5.7.</w:t>
            </w:r>
            <w:r w:rsidRPr="0001510D">
              <w:rPr>
                <w:rFonts w:ascii="Times New Roman" w:hAnsi="Times New Roman"/>
                <w:sz w:val="24"/>
                <w:szCs w:val="24"/>
              </w:rPr>
              <w:t xml:space="preserve"> personiskā tiesiskā atbildība</w:t>
            </w:r>
            <w:r>
              <w:rPr>
                <w:rFonts w:ascii="Times New Roman" w:hAnsi="Times New Roman"/>
                <w:sz w:val="24"/>
                <w:szCs w:val="24"/>
              </w:rPr>
              <w:t>.</w:t>
            </w:r>
          </w:p>
        </w:tc>
        <w:tc>
          <w:tcPr>
            <w:tcW w:w="2126" w:type="dxa"/>
          </w:tcPr>
          <w:p w:rsidR="000D5958" w:rsidRPr="0001510D" w:rsidRDefault="000D5958" w:rsidP="00141A8F">
            <w:pPr>
              <w:autoSpaceDE w:val="0"/>
              <w:autoSpaceDN w:val="0"/>
              <w:adjustRightInd w:val="0"/>
              <w:rPr>
                <w:rFonts w:ascii="Times New Roman" w:hAnsi="Times New Roman"/>
                <w:sz w:val="24"/>
                <w:szCs w:val="24"/>
              </w:rPr>
            </w:pPr>
          </w:p>
        </w:tc>
      </w:tr>
      <w:tr w:rsidR="000D5958"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6.</w:t>
            </w:r>
          </w:p>
        </w:tc>
        <w:tc>
          <w:tcPr>
            <w:tcW w:w="6237" w:type="dxa"/>
          </w:tcPr>
          <w:p w:rsidR="000D5958" w:rsidRDefault="000D5958" w:rsidP="00141A8F">
            <w:pPr>
              <w:autoSpaceDE w:val="0"/>
              <w:autoSpaceDN w:val="0"/>
              <w:adjustRightInd w:val="0"/>
              <w:rPr>
                <w:rFonts w:ascii="Times New Roman" w:hAnsi="Times New Roman"/>
                <w:sz w:val="23"/>
                <w:szCs w:val="23"/>
              </w:rPr>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 xml:space="preserve">jam </w:t>
            </w:r>
            <w:r w:rsidRPr="0033797A">
              <w:rPr>
                <w:rFonts w:ascii="Times New Roman" w:hAnsi="Times New Roman"/>
                <w:b/>
                <w:sz w:val="23"/>
                <w:szCs w:val="23"/>
              </w:rPr>
              <w:t>j</w:t>
            </w:r>
            <w:r w:rsidRPr="0033797A">
              <w:rPr>
                <w:rFonts w:ascii="TT646o00" w:hAnsi="TT646o00" w:cs="TT646o00"/>
                <w:b/>
                <w:sz w:val="23"/>
                <w:szCs w:val="23"/>
              </w:rPr>
              <w:t>ā</w:t>
            </w:r>
            <w:r w:rsidRPr="0033797A">
              <w:rPr>
                <w:rFonts w:ascii="Times New Roman" w:hAnsi="Times New Roman"/>
                <w:b/>
                <w:sz w:val="23"/>
                <w:szCs w:val="23"/>
              </w:rPr>
              <w:t>nodrošina pakalpojumu sniegšana vis</w:t>
            </w:r>
            <w:r w:rsidRPr="0033797A">
              <w:rPr>
                <w:rFonts w:ascii="TT646o00" w:hAnsi="TT646o00" w:cs="TT646o00"/>
                <w:b/>
                <w:sz w:val="23"/>
                <w:szCs w:val="23"/>
              </w:rPr>
              <w:t xml:space="preserve">ā </w:t>
            </w:r>
            <w:r w:rsidRPr="0033797A">
              <w:rPr>
                <w:rFonts w:ascii="Times New Roman" w:hAnsi="Times New Roman"/>
                <w:b/>
                <w:sz w:val="23"/>
                <w:szCs w:val="23"/>
              </w:rPr>
              <w:t>pasaul</w:t>
            </w:r>
            <w:r w:rsidRPr="0033797A">
              <w:rPr>
                <w:rFonts w:ascii="TT646o00" w:hAnsi="TT646o00" w:cs="TT646o00"/>
                <w:b/>
                <w:sz w:val="23"/>
                <w:szCs w:val="23"/>
              </w:rPr>
              <w:t>ē</w:t>
            </w:r>
            <w:r>
              <w:rPr>
                <w:rFonts w:ascii="Times New Roman" w:hAnsi="Times New Roman"/>
                <w:sz w:val="23"/>
                <w:szCs w:val="23"/>
              </w:rPr>
              <w:t>, kā arī j</w:t>
            </w:r>
            <w:r>
              <w:rPr>
                <w:rFonts w:ascii="TT646o00" w:hAnsi="TT646o00" w:cs="TT646o00"/>
                <w:sz w:val="23"/>
                <w:szCs w:val="23"/>
              </w:rPr>
              <w:t>ā</w:t>
            </w:r>
            <w:r>
              <w:rPr>
                <w:rFonts w:ascii="Times New Roman" w:hAnsi="Times New Roman"/>
                <w:sz w:val="23"/>
                <w:szCs w:val="23"/>
              </w:rPr>
              <w:t>nodrošina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iesp</w:t>
            </w:r>
            <w:r>
              <w:rPr>
                <w:rFonts w:ascii="TT646o00" w:hAnsi="TT646o00" w:cs="TT646o00"/>
                <w:sz w:val="23"/>
                <w:szCs w:val="23"/>
              </w:rPr>
              <w:t>ē</w:t>
            </w:r>
            <w:r>
              <w:rPr>
                <w:rFonts w:ascii="Times New Roman" w:hAnsi="Times New Roman"/>
                <w:sz w:val="23"/>
                <w:szCs w:val="23"/>
              </w:rPr>
              <w:t>ja savienot daž</w:t>
            </w:r>
            <w:r>
              <w:rPr>
                <w:rFonts w:ascii="TT646o00" w:hAnsi="TT646o00" w:cs="TT646o00"/>
                <w:sz w:val="23"/>
                <w:szCs w:val="23"/>
              </w:rPr>
              <w:t>ā</w:t>
            </w:r>
            <w:r>
              <w:rPr>
                <w:rFonts w:ascii="Times New Roman" w:hAnsi="Times New Roman"/>
                <w:sz w:val="23"/>
                <w:szCs w:val="23"/>
              </w:rPr>
              <w:t>da veida transporta izmantošanu galam</w:t>
            </w:r>
            <w:r>
              <w:rPr>
                <w:rFonts w:ascii="TT646o00" w:hAnsi="TT646o00" w:cs="TT646o00"/>
                <w:sz w:val="23"/>
                <w:szCs w:val="23"/>
              </w:rPr>
              <w:t>ē</w:t>
            </w:r>
            <w:r>
              <w:rPr>
                <w:rFonts w:ascii="Times New Roman" w:hAnsi="Times New Roman"/>
                <w:sz w:val="23"/>
                <w:szCs w:val="23"/>
              </w:rPr>
              <w:t>r</w:t>
            </w:r>
            <w:r>
              <w:rPr>
                <w:rFonts w:ascii="TT646o00" w:hAnsi="TT646o00" w:cs="TT646o00"/>
                <w:sz w:val="23"/>
                <w:szCs w:val="23"/>
              </w:rPr>
              <w:t>ķ</w:t>
            </w:r>
            <w:r>
              <w:rPr>
                <w:rFonts w:ascii="Times New Roman" w:hAnsi="Times New Roman"/>
                <w:sz w:val="23"/>
                <w:szCs w:val="23"/>
              </w:rPr>
              <w:t>a sasniegšanai.</w:t>
            </w:r>
          </w:p>
        </w:tc>
        <w:tc>
          <w:tcPr>
            <w:tcW w:w="2126" w:type="dxa"/>
          </w:tcPr>
          <w:p w:rsidR="000D5958" w:rsidRDefault="000D5958" w:rsidP="00141A8F">
            <w:pPr>
              <w:autoSpaceDE w:val="0"/>
              <w:autoSpaceDN w:val="0"/>
              <w:adjustRightInd w:val="0"/>
              <w:rPr>
                <w:rFonts w:ascii="Times New Roman" w:hAnsi="Times New Roman"/>
                <w:sz w:val="23"/>
                <w:szCs w:val="23"/>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7</w:t>
            </w:r>
            <w:r w:rsidRPr="006F09B6">
              <w:rPr>
                <w:color w:val="auto"/>
                <w:lang w:val="lv-LV"/>
              </w:rPr>
              <w:t>.</w:t>
            </w:r>
          </w:p>
        </w:tc>
        <w:tc>
          <w:tcPr>
            <w:tcW w:w="6237" w:type="dxa"/>
          </w:tcPr>
          <w:p w:rsidR="000D5958" w:rsidRPr="006F09B6" w:rsidRDefault="000D5958" w:rsidP="00141A8F">
            <w:pPr>
              <w:autoSpaceDE w:val="0"/>
              <w:autoSpaceDN w:val="0"/>
              <w:adjustRightInd w:val="0"/>
            </w:pPr>
            <w:r w:rsidRPr="00E8279E">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r>
              <w:rPr>
                <w:rFonts w:ascii="Times New Roman" w:hAnsi="Times New Roman"/>
                <w:sz w:val="23"/>
                <w:szCs w:val="23"/>
              </w:rPr>
              <w:t>.</w:t>
            </w:r>
          </w:p>
        </w:tc>
        <w:tc>
          <w:tcPr>
            <w:tcW w:w="2126" w:type="dxa"/>
          </w:tcPr>
          <w:p w:rsidR="000D5958" w:rsidRPr="00E8279E" w:rsidRDefault="000D5958" w:rsidP="00141A8F">
            <w:pPr>
              <w:autoSpaceDE w:val="0"/>
              <w:autoSpaceDN w:val="0"/>
              <w:adjustRightInd w:val="0"/>
              <w:rPr>
                <w:rFonts w:ascii="Times New Roman" w:hAnsi="Times New Roman"/>
                <w:sz w:val="24"/>
                <w:szCs w:val="24"/>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8</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6F09B6">
              <w:rPr>
                <w:color w:val="auto"/>
                <w:lang w:val="lv-LV"/>
              </w:rPr>
              <w:t>Aviobiļetes jānodrošina ceļošanai ekonomiskajā klasē. Aviobiļetes biznesa klasē var piedāvāt tikai ārkārtas gadījumos, kad būtisku iemeslu dēļ nav iespējams veikt rezervāciju ekonomiskajā klasē.</w:t>
            </w:r>
          </w:p>
        </w:tc>
        <w:tc>
          <w:tcPr>
            <w:tcW w:w="2126" w:type="dxa"/>
          </w:tcPr>
          <w:p w:rsidR="000D5958" w:rsidRPr="006F09B6" w:rsidRDefault="000D5958" w:rsidP="00141A8F">
            <w:pPr>
              <w:pStyle w:val="NormalWeb"/>
              <w:tabs>
                <w:tab w:val="left" w:pos="720"/>
              </w:tabs>
              <w:jc w:val="both"/>
              <w:rPr>
                <w:color w:val="auto"/>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9</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nekavējoties jāinformē P</w:t>
            </w:r>
            <w:r w:rsidRPr="006F09B6">
              <w:rPr>
                <w:color w:val="auto"/>
                <w:lang w:val="lv-LV"/>
              </w:rPr>
              <w:t>asūtītājs par ceļoju</w:t>
            </w:r>
            <w:r>
              <w:rPr>
                <w:color w:val="auto"/>
                <w:lang w:val="lv-LV"/>
              </w:rPr>
              <w:t>mu grafika izmaiņām, atceltiem/</w:t>
            </w:r>
            <w:r w:rsidRPr="006F09B6">
              <w:rPr>
                <w:color w:val="auto"/>
                <w:lang w:val="lv-LV"/>
              </w:rPr>
              <w:t xml:space="preserve">mainītiem reisiem un citiem </w:t>
            </w:r>
            <w:r w:rsidRPr="006F09B6">
              <w:rPr>
                <w:color w:val="auto"/>
                <w:lang w:val="lv-LV"/>
              </w:rPr>
              <w:lastRenderedPageBreak/>
              <w:t>apstākļiem, kas tam kļuvuši zināmi un var ietekmēt plānotā komandējuma norisi.</w:t>
            </w:r>
          </w:p>
        </w:tc>
        <w:tc>
          <w:tcPr>
            <w:tcW w:w="2126" w:type="dxa"/>
          </w:tcPr>
          <w:p w:rsidR="000D5958" w:rsidRPr="00772161" w:rsidRDefault="000D5958" w:rsidP="00141A8F">
            <w:pPr>
              <w:pStyle w:val="NormalWeb"/>
              <w:tabs>
                <w:tab w:val="left" w:pos="720"/>
              </w:tabs>
              <w:jc w:val="both"/>
              <w:rPr>
                <w:sz w:val="23"/>
                <w:szCs w:val="23"/>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lastRenderedPageBreak/>
              <w:t>10</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sidRPr="006F09B6">
              <w:rPr>
                <w:color w:val="auto"/>
                <w:lang w:val="lv-LV"/>
              </w:rPr>
              <w:t xml:space="preserve"> jānodrošina servisa/konsultāciju pieejamība 7 (septiņas) dienas nedēļā 24 (divdesmit četras) stundas diennaktī, nodrošinot pasūtītāju ar telefona numuru, pa kuru iespē</w:t>
            </w:r>
            <w:r>
              <w:rPr>
                <w:color w:val="auto"/>
                <w:lang w:val="lv-LV"/>
              </w:rPr>
              <w:t>jams sazvanīt atbildīgo</w:t>
            </w:r>
            <w:r w:rsidRPr="006F09B6">
              <w:rPr>
                <w:color w:val="auto"/>
                <w:lang w:val="lv-LV"/>
              </w:rPr>
              <w:t xml:space="preserve"> konsultantu.</w:t>
            </w:r>
          </w:p>
        </w:tc>
        <w:tc>
          <w:tcPr>
            <w:tcW w:w="2126" w:type="dxa"/>
          </w:tcPr>
          <w:p w:rsidR="000D5958" w:rsidRPr="00772161" w:rsidRDefault="000D5958" w:rsidP="00141A8F">
            <w:pPr>
              <w:pStyle w:val="NormalWeb"/>
              <w:tabs>
                <w:tab w:val="left" w:pos="720"/>
              </w:tabs>
              <w:jc w:val="both"/>
              <w:rPr>
                <w:sz w:val="23"/>
                <w:szCs w:val="23"/>
                <w:lang w:val="lv-LV"/>
              </w:rPr>
            </w:pPr>
          </w:p>
        </w:tc>
      </w:tr>
      <w:tr w:rsidR="000D5958" w:rsidRPr="00E8279E"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11</w:t>
            </w:r>
            <w:r w:rsidRPr="006F09B6">
              <w:rPr>
                <w:color w:val="auto"/>
                <w:lang w:val="lv-LV"/>
              </w:rPr>
              <w:t>.</w:t>
            </w:r>
          </w:p>
        </w:tc>
        <w:tc>
          <w:tcPr>
            <w:tcW w:w="6237" w:type="dxa"/>
          </w:tcPr>
          <w:p w:rsidR="000D5958" w:rsidRPr="00E8279E" w:rsidRDefault="000D5958" w:rsidP="00141A8F">
            <w:pPr>
              <w:autoSpaceDE w:val="0"/>
              <w:autoSpaceDN w:val="0"/>
              <w:adjustRightInd w:val="0"/>
              <w:rPr>
                <w:rFonts w:ascii="Times New Roman" w:hAnsi="Times New Roman"/>
                <w:sz w:val="24"/>
                <w:szCs w:val="24"/>
              </w:rPr>
            </w:pPr>
            <w:r w:rsidRPr="00E8279E">
              <w:rPr>
                <w:rFonts w:ascii="Times New Roman" w:hAnsi="Times New Roman"/>
                <w:sz w:val="24"/>
                <w:szCs w:val="24"/>
              </w:rPr>
              <w:t>Izpildītājam jāpiedāvā Pasūtītāja darbinieku/pārstāvju izmitināšana viesnīcās, kuru kategorijai ir jābūt ne zemākai par trešo kategoriju atbilstoši Latvijas valsts</w:t>
            </w:r>
            <w:r>
              <w:rPr>
                <w:rFonts w:ascii="Times New Roman" w:hAnsi="Times New Roman"/>
                <w:sz w:val="24"/>
                <w:szCs w:val="24"/>
              </w:rPr>
              <w:t xml:space="preserve"> </w:t>
            </w:r>
            <w:r w:rsidRPr="00E8279E">
              <w:rPr>
                <w:rFonts w:ascii="Times New Roman" w:hAnsi="Times New Roman"/>
                <w:sz w:val="24"/>
                <w:szCs w:val="24"/>
              </w:rPr>
              <w:t>standartam LVS 200-1+A1:2004 vai ekvivalentam citā standartizācijas sistēmā</w:t>
            </w:r>
            <w:r>
              <w:rPr>
                <w:rFonts w:ascii="Times New Roman" w:hAnsi="Times New Roman"/>
                <w:sz w:val="24"/>
                <w:szCs w:val="24"/>
              </w:rPr>
              <w:t xml:space="preserve">, un </w:t>
            </w:r>
            <w:r w:rsidRPr="00E8279E">
              <w:rPr>
                <w:rFonts w:ascii="Times New Roman" w:hAnsi="Times New Roman"/>
                <w:sz w:val="24"/>
                <w:szCs w:val="24"/>
              </w:rPr>
              <w:t>kas atrodas maksimāli tuvu komandējumu galamērķiem/</w:t>
            </w:r>
            <w:r>
              <w:rPr>
                <w:rFonts w:ascii="Times New Roman" w:hAnsi="Times New Roman"/>
                <w:sz w:val="24"/>
                <w:szCs w:val="24"/>
              </w:rPr>
              <w:t xml:space="preserve"> </w:t>
            </w:r>
            <w:r w:rsidRPr="00E8279E">
              <w:rPr>
                <w:rFonts w:ascii="Times New Roman" w:hAnsi="Times New Roman"/>
                <w:sz w:val="24"/>
                <w:szCs w:val="24"/>
              </w:rPr>
              <w:t xml:space="preserve">pasākumu norises vietām, maksimāli ņemot vērā Pasūtītāja noteikto cenu līmeni. </w:t>
            </w:r>
            <w:r>
              <w:rPr>
                <w:rFonts w:ascii="Times New Roman" w:hAnsi="Times New Roman"/>
                <w:sz w:val="24"/>
                <w:szCs w:val="24"/>
              </w:rPr>
              <w:t>P</w:t>
            </w:r>
            <w:r w:rsidRPr="00E8279E">
              <w:rPr>
                <w:rFonts w:ascii="Times New Roman" w:hAnsi="Times New Roman"/>
                <w:sz w:val="24"/>
                <w:szCs w:val="24"/>
              </w:rPr>
              <w:t xml:space="preserve">rasība </w:t>
            </w:r>
            <w:r>
              <w:rPr>
                <w:rFonts w:ascii="Times New Roman" w:hAnsi="Times New Roman"/>
                <w:sz w:val="24"/>
                <w:szCs w:val="24"/>
              </w:rPr>
              <w:t xml:space="preserve">par viesnīcas kategoriju </w:t>
            </w:r>
            <w:r w:rsidRPr="00E8279E">
              <w:rPr>
                <w:rFonts w:ascii="Times New Roman" w:hAnsi="Times New Roman"/>
                <w:sz w:val="24"/>
                <w:szCs w:val="24"/>
              </w:rPr>
              <w:t>neattiecas uz gadījumiem, kad to nav iespējams nodrošināt objektīvu iemeslu dēļ,</w:t>
            </w:r>
          </w:p>
        </w:tc>
        <w:tc>
          <w:tcPr>
            <w:tcW w:w="2126" w:type="dxa"/>
          </w:tcPr>
          <w:p w:rsidR="000D5958" w:rsidRPr="00E8279E" w:rsidRDefault="000D5958" w:rsidP="00141A8F">
            <w:pPr>
              <w:autoSpaceDE w:val="0"/>
              <w:autoSpaceDN w:val="0"/>
              <w:adjustRightInd w:val="0"/>
              <w:rPr>
                <w:rFonts w:ascii="Times New Roman" w:hAnsi="Times New Roman"/>
                <w:sz w:val="24"/>
                <w:szCs w:val="24"/>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12</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6F09B6">
              <w:rPr>
                <w:color w:val="auto"/>
                <w:lang w:val="lv-LV"/>
              </w:rPr>
              <w:t xml:space="preserve">Pēc Pasūtītāja pieprasījuma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jāveic pasūtījuma izdarīšana vai jāveic avansa pārskaitījums pakalpojuma sniedzējam, izsniedzot Pasūtītājam pakalpojuma rezervāciju/pasūtīšanu apliecinošu dokumentu.</w:t>
            </w:r>
            <w:r>
              <w:rPr>
                <w:color w:val="auto"/>
                <w:lang w:val="lv-LV"/>
              </w:rPr>
              <w:t xml:space="preserve"> Samaksu par veiktajiem pasūtījumiem Pasūtītājs veic iespējami īsā laikā, bet ne vēlāk kā 30 darba dienu laikā pēc attiecīga rēķina saņemšanas.</w:t>
            </w:r>
          </w:p>
        </w:tc>
        <w:tc>
          <w:tcPr>
            <w:tcW w:w="2126" w:type="dxa"/>
          </w:tcPr>
          <w:p w:rsidR="000D5958" w:rsidRPr="006F09B6" w:rsidRDefault="000D5958" w:rsidP="00141A8F">
            <w:pPr>
              <w:pStyle w:val="NormalWeb"/>
              <w:tabs>
                <w:tab w:val="left" w:pos="720"/>
              </w:tabs>
              <w:jc w:val="both"/>
              <w:rPr>
                <w:color w:val="auto"/>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13</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6F09B6">
              <w:rPr>
                <w:color w:val="auto"/>
                <w:lang w:val="lv-LV"/>
              </w:rPr>
              <w:t>Visām pakalpojumu rezervācijām jā</w:t>
            </w:r>
            <w:r>
              <w:rPr>
                <w:color w:val="auto"/>
                <w:lang w:val="lv-LV"/>
              </w:rPr>
              <w:t>būt elektroniski saskaņotām ar P</w:t>
            </w:r>
            <w:r w:rsidRPr="006F09B6">
              <w:rPr>
                <w:color w:val="auto"/>
                <w:lang w:val="lv-LV"/>
              </w:rPr>
              <w:t>asūtītāju.</w:t>
            </w:r>
            <w:r>
              <w:rPr>
                <w:color w:val="auto"/>
                <w:lang w:val="lv-LV"/>
              </w:rPr>
              <w:t xml:space="preserve"> </w:t>
            </w:r>
          </w:p>
        </w:tc>
        <w:tc>
          <w:tcPr>
            <w:tcW w:w="2126" w:type="dxa"/>
          </w:tcPr>
          <w:p w:rsidR="000D5958" w:rsidRPr="006F09B6" w:rsidRDefault="000D5958" w:rsidP="00141A8F">
            <w:pPr>
              <w:pStyle w:val="NormalWeb"/>
              <w:tabs>
                <w:tab w:val="left" w:pos="720"/>
              </w:tabs>
              <w:jc w:val="both"/>
              <w:rPr>
                <w:color w:val="auto"/>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14</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nekavējoti</w:t>
            </w:r>
            <w:r>
              <w:rPr>
                <w:color w:val="auto"/>
                <w:lang w:val="lv-LV"/>
              </w:rPr>
              <w:t>es jāinformē Pasūtītājs par vīza</w:t>
            </w:r>
            <w:r w:rsidRPr="006F09B6">
              <w:rPr>
                <w:color w:val="auto"/>
                <w:lang w:val="lv-LV"/>
              </w:rPr>
              <w:t>s nepieciešamību konkrētajā valstī un nepieciešamības gadījumā jānokārto vīzas saņemšanas formalitātes.</w:t>
            </w:r>
          </w:p>
        </w:tc>
        <w:tc>
          <w:tcPr>
            <w:tcW w:w="2126" w:type="dxa"/>
          </w:tcPr>
          <w:p w:rsidR="000D5958" w:rsidRPr="00A73D9C" w:rsidRDefault="000D5958" w:rsidP="00141A8F">
            <w:pPr>
              <w:pStyle w:val="NormalWeb"/>
              <w:tabs>
                <w:tab w:val="left" w:pos="720"/>
              </w:tabs>
              <w:jc w:val="both"/>
              <w:rPr>
                <w:sz w:val="23"/>
                <w:szCs w:val="23"/>
                <w:lang w:val="lv-LV"/>
              </w:rPr>
            </w:pPr>
          </w:p>
        </w:tc>
      </w:tr>
      <w:tr w:rsidR="000D5958" w:rsidRPr="00A73D9C"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15</w:t>
            </w:r>
            <w:r w:rsidRPr="006F09B6">
              <w:rPr>
                <w:color w:val="auto"/>
                <w:lang w:val="lv-LV"/>
              </w:rPr>
              <w:t>.</w:t>
            </w:r>
          </w:p>
        </w:tc>
        <w:tc>
          <w:tcPr>
            <w:tcW w:w="6237" w:type="dxa"/>
          </w:tcPr>
          <w:p w:rsidR="000D5958" w:rsidRPr="00A73D9C" w:rsidRDefault="000D5958" w:rsidP="00141A8F">
            <w:pPr>
              <w:autoSpaceDE w:val="0"/>
              <w:autoSpaceDN w:val="0"/>
              <w:adjustRightInd w:val="0"/>
              <w:rPr>
                <w:rFonts w:ascii="Times New Roman" w:hAnsi="Times New Roman"/>
                <w:sz w:val="23"/>
                <w:szCs w:val="23"/>
              </w:rPr>
            </w:pPr>
            <w:r>
              <w:rPr>
                <w:rFonts w:ascii="Times New Roman" w:hAnsi="Times New Roman"/>
                <w:sz w:val="23"/>
                <w:szCs w:val="23"/>
              </w:rPr>
              <w:t xml:space="preserve"> 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ir j</w:t>
            </w:r>
            <w:r>
              <w:rPr>
                <w:rFonts w:ascii="TT646o00" w:hAnsi="TT646o00" w:cs="TT646o00"/>
                <w:sz w:val="23"/>
                <w:szCs w:val="23"/>
              </w:rPr>
              <w:t>ā</w:t>
            </w:r>
            <w:r>
              <w:rPr>
                <w:rFonts w:ascii="Times New Roman" w:hAnsi="Times New Roman"/>
                <w:sz w:val="23"/>
                <w:szCs w:val="23"/>
              </w:rPr>
              <w:t>nodrošina iesp</w:t>
            </w:r>
            <w:r>
              <w:rPr>
                <w:rFonts w:ascii="TT646o00" w:hAnsi="TT646o00" w:cs="TT646o00"/>
                <w:sz w:val="23"/>
                <w:szCs w:val="23"/>
              </w:rPr>
              <w:t>ē</w:t>
            </w:r>
            <w:r>
              <w:rPr>
                <w:rFonts w:ascii="Times New Roman" w:hAnsi="Times New Roman"/>
                <w:sz w:val="23"/>
                <w:szCs w:val="23"/>
              </w:rPr>
              <w:t>ja main</w:t>
            </w:r>
            <w:r>
              <w:rPr>
                <w:rFonts w:ascii="TT646o00" w:hAnsi="TT646o00" w:cs="TT646o00"/>
                <w:sz w:val="23"/>
                <w:szCs w:val="23"/>
              </w:rPr>
              <w:t>ī</w:t>
            </w:r>
            <w:r>
              <w:rPr>
                <w:rFonts w:ascii="Times New Roman" w:hAnsi="Times New Roman"/>
                <w:sz w:val="23"/>
                <w:szCs w:val="23"/>
              </w:rPr>
              <w:t>t vai anul</w:t>
            </w:r>
            <w:r>
              <w:rPr>
                <w:rFonts w:ascii="TT646o00" w:hAnsi="TT646o00" w:cs="TT646o00"/>
                <w:sz w:val="23"/>
                <w:szCs w:val="23"/>
              </w:rPr>
              <w:t>ē</w:t>
            </w:r>
            <w:r>
              <w:rPr>
                <w:rFonts w:ascii="Times New Roman" w:hAnsi="Times New Roman"/>
                <w:sz w:val="23"/>
                <w:szCs w:val="23"/>
              </w:rPr>
              <w:t>t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rezerv</w:t>
            </w:r>
            <w:r>
              <w:rPr>
                <w:rFonts w:ascii="TT646o00" w:hAnsi="TT646o00" w:cs="TT646o00"/>
                <w:sz w:val="23"/>
                <w:szCs w:val="23"/>
              </w:rPr>
              <w:t>ē</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s bi</w:t>
            </w:r>
            <w:r>
              <w:rPr>
                <w:rFonts w:ascii="TT646o00" w:hAnsi="TT646o00" w:cs="TT646o00"/>
                <w:sz w:val="23"/>
                <w:szCs w:val="23"/>
              </w:rPr>
              <w:t>ļ</w:t>
            </w:r>
            <w:r>
              <w:rPr>
                <w:rFonts w:ascii="Times New Roman" w:hAnsi="Times New Roman"/>
                <w:sz w:val="23"/>
                <w:szCs w:val="23"/>
              </w:rPr>
              <w:t>etes un viesn</w:t>
            </w:r>
            <w:r>
              <w:rPr>
                <w:rFonts w:ascii="TT646o00" w:hAnsi="TT646o00" w:cs="TT646o00"/>
                <w:sz w:val="23"/>
                <w:szCs w:val="23"/>
              </w:rPr>
              <w:t>ī</w:t>
            </w:r>
            <w:r>
              <w:rPr>
                <w:rFonts w:ascii="Times New Roman" w:hAnsi="Times New Roman"/>
                <w:sz w:val="23"/>
                <w:szCs w:val="23"/>
              </w:rPr>
              <w:t>cas.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juma anul</w:t>
            </w:r>
            <w:r>
              <w:rPr>
                <w:rFonts w:ascii="TT646o00" w:hAnsi="TT646o00" w:cs="TT646o00"/>
                <w:sz w:val="23"/>
                <w:szCs w:val="23"/>
              </w:rPr>
              <w:t>ā</w:t>
            </w:r>
            <w:r>
              <w:rPr>
                <w:rFonts w:ascii="Times New Roman" w:hAnsi="Times New Roman"/>
                <w:sz w:val="23"/>
                <w:szCs w:val="23"/>
              </w:rPr>
              <w:t>cijas gad</w:t>
            </w:r>
            <w:r>
              <w:rPr>
                <w:rFonts w:ascii="TT646o00" w:hAnsi="TT646o00" w:cs="TT646o00"/>
                <w:sz w:val="23"/>
                <w:szCs w:val="23"/>
              </w:rPr>
              <w:t>ī</w:t>
            </w:r>
            <w:r>
              <w:rPr>
                <w:rFonts w:ascii="Times New Roman" w:hAnsi="Times New Roman"/>
                <w:sz w:val="23"/>
                <w:szCs w:val="23"/>
              </w:rPr>
              <w:t>jum</w:t>
            </w:r>
            <w:r>
              <w:rPr>
                <w:rFonts w:ascii="TT646o00" w:hAnsi="TT646o00" w:cs="TT646o00"/>
                <w:sz w:val="23"/>
                <w:szCs w:val="23"/>
              </w:rPr>
              <w:t xml:space="preserve">ā </w:t>
            </w:r>
            <w:r>
              <w:rPr>
                <w:rFonts w:ascii="Times New Roman" w:hAnsi="Times New Roman"/>
                <w:sz w:val="23"/>
                <w:szCs w:val="23"/>
              </w:rPr>
              <w:t>rezerv</w:t>
            </w:r>
            <w:r>
              <w:rPr>
                <w:rFonts w:ascii="TT646o00" w:hAnsi="TT646o00" w:cs="TT646o00"/>
                <w:sz w:val="23"/>
                <w:szCs w:val="23"/>
              </w:rPr>
              <w:t>ē</w:t>
            </w:r>
            <w:r>
              <w:rPr>
                <w:rFonts w:ascii="Times New Roman" w:hAnsi="Times New Roman"/>
                <w:sz w:val="23"/>
                <w:szCs w:val="23"/>
              </w:rPr>
              <w:t>to un apmaks</w:t>
            </w:r>
            <w:r>
              <w:rPr>
                <w:rFonts w:ascii="TT646o00" w:hAnsi="TT646o00" w:cs="TT646o00"/>
                <w:sz w:val="23"/>
                <w:szCs w:val="23"/>
              </w:rPr>
              <w:t>ā</w:t>
            </w:r>
            <w:r>
              <w:rPr>
                <w:rFonts w:ascii="Times New Roman" w:hAnsi="Times New Roman"/>
                <w:sz w:val="23"/>
                <w:szCs w:val="23"/>
              </w:rPr>
              <w:t>to bi</w:t>
            </w:r>
            <w:r>
              <w:rPr>
                <w:rFonts w:ascii="TT646o00" w:hAnsi="TT646o00" w:cs="TT646o00"/>
                <w:sz w:val="23"/>
                <w:szCs w:val="23"/>
              </w:rPr>
              <w:t>ļ</w:t>
            </w:r>
            <w:r>
              <w:rPr>
                <w:rFonts w:ascii="Times New Roman" w:hAnsi="Times New Roman"/>
                <w:sz w:val="23"/>
                <w:szCs w:val="23"/>
              </w:rPr>
              <w:t>ešu, viesn</w:t>
            </w:r>
            <w:r>
              <w:rPr>
                <w:rFonts w:ascii="TT646o00" w:hAnsi="TT646o00" w:cs="TT646o00"/>
                <w:sz w:val="23"/>
                <w:szCs w:val="23"/>
              </w:rPr>
              <w:t>ī</w:t>
            </w:r>
            <w:r>
              <w:rPr>
                <w:rFonts w:ascii="Times New Roman" w:hAnsi="Times New Roman"/>
                <w:sz w:val="23"/>
                <w:szCs w:val="23"/>
              </w:rPr>
              <w:t>cu un citu pakalpojumu summa tiek atmaks</w:t>
            </w:r>
            <w:r>
              <w:rPr>
                <w:rFonts w:ascii="TT646o00" w:hAnsi="TT646o00" w:cs="TT646o00"/>
                <w:sz w:val="23"/>
                <w:szCs w:val="23"/>
              </w:rPr>
              <w:t>ā</w:t>
            </w:r>
            <w:r>
              <w:rPr>
                <w:rFonts w:ascii="Times New Roman" w:hAnsi="Times New Roman"/>
                <w:sz w:val="23"/>
                <w:szCs w:val="23"/>
              </w:rPr>
              <w:t>ta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saska</w:t>
            </w:r>
            <w:r>
              <w:rPr>
                <w:rFonts w:ascii="TT646o00" w:hAnsi="TT646o00" w:cs="TT646o00"/>
                <w:sz w:val="23"/>
                <w:szCs w:val="23"/>
              </w:rPr>
              <w:t xml:space="preserve">ņā </w:t>
            </w:r>
            <w:r>
              <w:rPr>
                <w:rFonts w:ascii="Times New Roman" w:hAnsi="Times New Roman"/>
                <w:sz w:val="23"/>
                <w:szCs w:val="23"/>
              </w:rPr>
              <w:t>ar apkalpojošo komp</w:t>
            </w:r>
            <w:r>
              <w:rPr>
                <w:rFonts w:ascii="TT646o00" w:hAnsi="TT646o00" w:cs="TT646o00"/>
                <w:sz w:val="23"/>
                <w:szCs w:val="23"/>
              </w:rPr>
              <w:t>ā</w:t>
            </w:r>
            <w:r>
              <w:rPr>
                <w:rFonts w:ascii="Times New Roman" w:hAnsi="Times New Roman"/>
                <w:sz w:val="23"/>
                <w:szCs w:val="23"/>
              </w:rPr>
              <w:t>niju noteikumiem.</w:t>
            </w:r>
          </w:p>
        </w:tc>
        <w:tc>
          <w:tcPr>
            <w:tcW w:w="2126" w:type="dxa"/>
          </w:tcPr>
          <w:p w:rsidR="000D5958" w:rsidRDefault="000D5958" w:rsidP="00141A8F">
            <w:pPr>
              <w:autoSpaceDE w:val="0"/>
              <w:autoSpaceDN w:val="0"/>
              <w:adjustRightInd w:val="0"/>
              <w:rPr>
                <w:rFonts w:ascii="Times New Roman" w:hAnsi="Times New Roman"/>
                <w:sz w:val="23"/>
                <w:szCs w:val="23"/>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16</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jānodrošina ceļojuma dokumentu (vīzas, biļetes, apdrošināšana, v</w:t>
            </w:r>
            <w:r>
              <w:rPr>
                <w:color w:val="auto"/>
                <w:lang w:val="lv-LV"/>
              </w:rPr>
              <w:t>iesnīcas vaučeri u.c.) piegāde P</w:t>
            </w:r>
            <w:r w:rsidRPr="006F09B6">
              <w:rPr>
                <w:color w:val="auto"/>
                <w:lang w:val="lv-LV"/>
              </w:rPr>
              <w:t xml:space="preserve">asūtītāja </w:t>
            </w:r>
            <w:r w:rsidRPr="000F2F9A">
              <w:rPr>
                <w:color w:val="auto"/>
                <w:lang w:val="lv-LV"/>
              </w:rPr>
              <w:t xml:space="preserve">birojā, </w:t>
            </w:r>
            <w:r w:rsidRPr="000F2F9A">
              <w:rPr>
                <w:lang w:val="lv-LV"/>
              </w:rPr>
              <w:t>J. Poruka ielā 8-108, Cēsīs, LV-4101</w:t>
            </w:r>
            <w:r w:rsidRPr="000F2F9A">
              <w:rPr>
                <w:color w:val="auto"/>
                <w:lang w:val="lv-LV"/>
              </w:rPr>
              <w:t>, darba</w:t>
            </w:r>
            <w:r w:rsidRPr="006F09B6">
              <w:rPr>
                <w:color w:val="auto"/>
                <w:lang w:val="lv-LV"/>
              </w:rPr>
              <w:t xml:space="preserve"> dienās no 9.00 līdz 17.00, ja tas nepiec</w:t>
            </w:r>
            <w:r>
              <w:rPr>
                <w:color w:val="auto"/>
                <w:lang w:val="lv-LV"/>
              </w:rPr>
              <w:t>iešams un dokumentus nav iespē</w:t>
            </w:r>
            <w:r w:rsidRPr="006F09B6">
              <w:rPr>
                <w:color w:val="auto"/>
                <w:lang w:val="lv-LV"/>
              </w:rPr>
              <w:t>jams nosūtīt pa pastu vai elektroniski.</w:t>
            </w:r>
          </w:p>
        </w:tc>
        <w:tc>
          <w:tcPr>
            <w:tcW w:w="2126" w:type="dxa"/>
          </w:tcPr>
          <w:p w:rsidR="000D5958" w:rsidRPr="00A73D9C" w:rsidRDefault="000D5958" w:rsidP="00141A8F">
            <w:pPr>
              <w:pStyle w:val="NormalWeb"/>
              <w:tabs>
                <w:tab w:val="left" w:pos="720"/>
              </w:tabs>
              <w:jc w:val="both"/>
              <w:rPr>
                <w:sz w:val="23"/>
                <w:szCs w:val="23"/>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17.</w:t>
            </w:r>
          </w:p>
        </w:tc>
        <w:tc>
          <w:tcPr>
            <w:tcW w:w="6237" w:type="dxa"/>
          </w:tcPr>
          <w:p w:rsidR="000D5958" w:rsidRPr="006F09B6" w:rsidRDefault="000D5958" w:rsidP="00141A8F">
            <w:pPr>
              <w:autoSpaceDE w:val="0"/>
              <w:autoSpaceDN w:val="0"/>
              <w:adjustRightInd w:val="0"/>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js p</w:t>
            </w:r>
            <w:r>
              <w:rPr>
                <w:rFonts w:ascii="TT646o00" w:hAnsi="TT646o00" w:cs="TT646o00"/>
                <w:sz w:val="23"/>
                <w:szCs w:val="23"/>
              </w:rPr>
              <w:t>ē</w:t>
            </w:r>
            <w:r>
              <w:rPr>
                <w:rFonts w:ascii="Times New Roman" w:hAnsi="Times New Roman"/>
                <w:sz w:val="23"/>
                <w:szCs w:val="23"/>
              </w:rPr>
              <w:t>c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piepras</w:t>
            </w:r>
            <w:r>
              <w:rPr>
                <w:rFonts w:ascii="TT646o00" w:hAnsi="TT646o00" w:cs="TT646o00"/>
                <w:sz w:val="23"/>
                <w:szCs w:val="23"/>
              </w:rPr>
              <w:t>ī</w:t>
            </w:r>
            <w:r>
              <w:rPr>
                <w:rFonts w:ascii="Times New Roman" w:hAnsi="Times New Roman"/>
                <w:sz w:val="23"/>
                <w:szCs w:val="23"/>
              </w:rPr>
              <w:t>juma sagatavo r</w:t>
            </w:r>
            <w:r>
              <w:rPr>
                <w:rFonts w:ascii="TT646o00" w:hAnsi="TT646o00" w:cs="TT646o00"/>
                <w:sz w:val="23"/>
                <w:szCs w:val="23"/>
              </w:rPr>
              <w:t>ēķ</w:t>
            </w:r>
            <w:r>
              <w:rPr>
                <w:rFonts w:ascii="Times New Roman" w:hAnsi="Times New Roman"/>
                <w:sz w:val="23"/>
                <w:szCs w:val="23"/>
              </w:rPr>
              <w:t>inus ar nepieciešamo rēķinā norādāmo informācijas daudzumu, vai rēķinus  ang</w:t>
            </w:r>
            <w:r>
              <w:rPr>
                <w:rFonts w:ascii="TT646o00" w:hAnsi="TT646o00" w:cs="TT646o00"/>
                <w:sz w:val="23"/>
                <w:szCs w:val="23"/>
              </w:rPr>
              <w:t>ļ</w:t>
            </w:r>
            <w:r>
              <w:rPr>
                <w:rFonts w:ascii="Times New Roman" w:hAnsi="Times New Roman"/>
                <w:sz w:val="23"/>
                <w:szCs w:val="23"/>
              </w:rPr>
              <w:t>u valod</w:t>
            </w:r>
            <w:r>
              <w:rPr>
                <w:rFonts w:ascii="TT646o00" w:hAnsi="TT646o00" w:cs="TT646o00"/>
                <w:sz w:val="23"/>
                <w:szCs w:val="23"/>
              </w:rPr>
              <w:t>ā</w:t>
            </w:r>
            <w:r>
              <w:rPr>
                <w:rFonts w:ascii="Times New Roman" w:hAnsi="Times New Roman"/>
                <w:sz w:val="23"/>
                <w:szCs w:val="23"/>
              </w:rPr>
              <w:t>, vai izmaksas nor</w:t>
            </w:r>
            <w:r>
              <w:rPr>
                <w:rFonts w:ascii="TT646o00" w:hAnsi="TT646o00" w:cs="TT646o00"/>
                <w:sz w:val="23"/>
                <w:szCs w:val="23"/>
              </w:rPr>
              <w:t>ā</w:t>
            </w:r>
            <w:r>
              <w:rPr>
                <w:rFonts w:ascii="Times New Roman" w:hAnsi="Times New Roman"/>
                <w:sz w:val="23"/>
                <w:szCs w:val="23"/>
              </w:rPr>
              <w:t>dot eiro (EUR) un tml.</w:t>
            </w:r>
          </w:p>
        </w:tc>
        <w:tc>
          <w:tcPr>
            <w:tcW w:w="2126" w:type="dxa"/>
          </w:tcPr>
          <w:p w:rsidR="000D5958" w:rsidRDefault="000D5958" w:rsidP="00141A8F">
            <w:pPr>
              <w:autoSpaceDE w:val="0"/>
              <w:autoSpaceDN w:val="0"/>
              <w:adjustRightInd w:val="0"/>
              <w:rPr>
                <w:rFonts w:ascii="Times New Roman" w:hAnsi="Times New Roman"/>
                <w:sz w:val="23"/>
                <w:szCs w:val="23"/>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18</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Pr>
                <w:color w:val="auto"/>
                <w:lang w:val="lv-LV"/>
              </w:rPr>
              <w:t>Izpildītājs sniedz konsultācijas ar komandējumu un darba braucienu</w:t>
            </w:r>
            <w:r w:rsidRPr="006F09B6">
              <w:rPr>
                <w:color w:val="auto"/>
                <w:lang w:val="lv-LV"/>
              </w:rPr>
              <w:t xml:space="preserve"> organizēšanu saistītos jautājumos (izdevīgāko ceļojumu maršrutu izstrāde un salīdzināšana, potenciālo izmaksu aprēķināšana utml.)</w:t>
            </w:r>
            <w:r>
              <w:rPr>
                <w:color w:val="auto"/>
                <w:lang w:val="lv-LV"/>
              </w:rPr>
              <w:t>.</w:t>
            </w:r>
          </w:p>
        </w:tc>
        <w:tc>
          <w:tcPr>
            <w:tcW w:w="2126" w:type="dxa"/>
          </w:tcPr>
          <w:p w:rsidR="000D5958" w:rsidRDefault="000D5958" w:rsidP="00141A8F">
            <w:pPr>
              <w:pStyle w:val="NormalWeb"/>
              <w:tabs>
                <w:tab w:val="left" w:pos="720"/>
              </w:tabs>
              <w:jc w:val="both"/>
              <w:rPr>
                <w:color w:val="auto"/>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t>19</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Pr="006F09B6">
              <w:rPr>
                <w:color w:val="auto"/>
                <w:lang w:val="lv-LV"/>
              </w:rPr>
              <w:t xml:space="preserve"> nodrošina pakalpojumu maksimāli operatīvi no pasūtījuma izdarīšanas brīža, bet ne vēlāk kā 2 kalendāro dienu laikā.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Pr="006F09B6">
              <w:rPr>
                <w:color w:val="auto"/>
                <w:lang w:val="lv-LV"/>
              </w:rPr>
              <w:t xml:space="preserve"> nodrošina iespēju veikt pasūtījumu pa tālruni, e-pastu vai, ierodoties birojā,</w:t>
            </w:r>
            <w:r>
              <w:rPr>
                <w:color w:val="auto"/>
                <w:lang w:val="lv-LV"/>
              </w:rPr>
              <w:t xml:space="preserve"> kā arī </w:t>
            </w:r>
            <w:r w:rsidRPr="006F09B6">
              <w:rPr>
                <w:color w:val="auto"/>
                <w:lang w:val="lv-LV"/>
              </w:rPr>
              <w:t xml:space="preserve"> norādot konkrētu tālruņa, faksa numuru un e-pasta adresi, kurus Pasūtītājs var izmantot, lai operatīvi sazinātos ar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 xml:space="preserve">ja </w:t>
            </w:r>
            <w:r w:rsidRPr="006F09B6">
              <w:rPr>
                <w:color w:val="auto"/>
                <w:lang w:val="lv-LV"/>
              </w:rPr>
              <w:t>darbinieku.</w:t>
            </w:r>
          </w:p>
        </w:tc>
        <w:tc>
          <w:tcPr>
            <w:tcW w:w="2126" w:type="dxa"/>
          </w:tcPr>
          <w:p w:rsidR="000D5958" w:rsidRPr="00A73D9C" w:rsidRDefault="000D5958" w:rsidP="00141A8F">
            <w:pPr>
              <w:pStyle w:val="NormalWeb"/>
              <w:tabs>
                <w:tab w:val="left" w:pos="720"/>
              </w:tabs>
              <w:jc w:val="both"/>
              <w:rPr>
                <w:sz w:val="23"/>
                <w:szCs w:val="23"/>
                <w:lang w:val="lv-LV"/>
              </w:rPr>
            </w:pPr>
          </w:p>
        </w:tc>
      </w:tr>
      <w:tr w:rsidR="000D5958" w:rsidRPr="006F09B6" w:rsidTr="00141A8F">
        <w:tc>
          <w:tcPr>
            <w:tcW w:w="959" w:type="dxa"/>
          </w:tcPr>
          <w:p w:rsidR="000D5958" w:rsidRPr="006F09B6" w:rsidRDefault="000D5958" w:rsidP="00141A8F">
            <w:pPr>
              <w:pStyle w:val="NormalWeb"/>
              <w:tabs>
                <w:tab w:val="left" w:pos="720"/>
              </w:tabs>
              <w:jc w:val="both"/>
              <w:rPr>
                <w:color w:val="auto"/>
                <w:lang w:val="lv-LV"/>
              </w:rPr>
            </w:pPr>
            <w:r>
              <w:rPr>
                <w:color w:val="auto"/>
                <w:lang w:val="lv-LV"/>
              </w:rPr>
              <w:lastRenderedPageBreak/>
              <w:t>20</w:t>
            </w:r>
            <w:r w:rsidRPr="006F09B6">
              <w:rPr>
                <w:color w:val="auto"/>
                <w:lang w:val="lv-LV"/>
              </w:rPr>
              <w:t>.</w:t>
            </w:r>
          </w:p>
        </w:tc>
        <w:tc>
          <w:tcPr>
            <w:tcW w:w="6237" w:type="dxa"/>
          </w:tcPr>
          <w:p w:rsidR="000D5958" w:rsidRPr="006F09B6" w:rsidRDefault="000D5958" w:rsidP="00141A8F">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Pasūtītāja apkalpošanai jānorīko konkrēts darbinieks, kurš sadarbojas ar pasūtītāju un ir atbildīgs par tā pasūtījumu operatīvu izpildi. Šī darbinieka prombūtnes gadījumā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jānorīko aizstājējs, kurš spēj nodrošināt pakalpojuma sniegšanu atbilstoši Pasūtītāja vajadzībām.</w:t>
            </w:r>
          </w:p>
        </w:tc>
        <w:tc>
          <w:tcPr>
            <w:tcW w:w="2126" w:type="dxa"/>
          </w:tcPr>
          <w:p w:rsidR="000D5958" w:rsidRPr="00A73D9C" w:rsidRDefault="000D5958" w:rsidP="00141A8F">
            <w:pPr>
              <w:pStyle w:val="NormalWeb"/>
              <w:tabs>
                <w:tab w:val="left" w:pos="720"/>
              </w:tabs>
              <w:jc w:val="both"/>
              <w:rPr>
                <w:sz w:val="23"/>
                <w:szCs w:val="23"/>
                <w:lang w:val="lv-LV"/>
              </w:rPr>
            </w:pPr>
          </w:p>
        </w:tc>
      </w:tr>
    </w:tbl>
    <w:p w:rsidR="000D5958" w:rsidRDefault="000D5958" w:rsidP="000D5958">
      <w:pPr>
        <w:spacing w:after="0"/>
        <w:jc w:val="center"/>
        <w:rPr>
          <w:rFonts w:ascii="Times New Roman" w:hAnsi="Times New Roman" w:cs="Times New Roman"/>
          <w:sz w:val="23"/>
          <w:szCs w:val="23"/>
        </w:rPr>
      </w:pPr>
    </w:p>
    <w:p w:rsidR="000D5958" w:rsidRDefault="000D5958" w:rsidP="000D5958">
      <w:pPr>
        <w:spacing w:after="0"/>
        <w:jc w:val="center"/>
        <w:rPr>
          <w:rFonts w:ascii="Times New Roman" w:hAnsi="Times New Roman" w:cs="Times New Roman"/>
          <w:sz w:val="23"/>
          <w:szCs w:val="23"/>
        </w:rPr>
      </w:pPr>
    </w:p>
    <w:p w:rsidR="000D5958" w:rsidRDefault="000D5958" w:rsidP="000D5958">
      <w:pPr>
        <w:spacing w:line="360" w:lineRule="auto"/>
        <w:rPr>
          <w:rFonts w:ascii="Times New Roman" w:eastAsia="Times New Roman" w:hAnsi="Times New Roman" w:cs="Times New Roman"/>
          <w:b/>
          <w:sz w:val="32"/>
          <w:szCs w:val="32"/>
          <w:lang w:eastAsia="lv-LV"/>
        </w:rPr>
      </w:pPr>
      <w:r w:rsidRPr="00471F71">
        <w:rPr>
          <w:rFonts w:ascii="Times New Roman" w:hAnsi="Times New Roman" w:cs="Times New Roman"/>
          <w:sz w:val="23"/>
          <w:szCs w:val="23"/>
          <w:highlight w:val="lightGray"/>
        </w:rPr>
        <w:t>Uz</w:t>
      </w:r>
      <w:r w:rsidRPr="00471F71">
        <w:rPr>
          <w:rFonts w:ascii="TT646o00" w:hAnsi="TT646o00" w:cs="TT646o00"/>
          <w:sz w:val="23"/>
          <w:szCs w:val="23"/>
          <w:highlight w:val="lightGray"/>
        </w:rPr>
        <w:t>ņē</w:t>
      </w:r>
      <w:r w:rsidRPr="00471F71">
        <w:rPr>
          <w:rFonts w:ascii="Times New Roman" w:hAnsi="Times New Roman" w:cs="Times New Roman"/>
          <w:sz w:val="23"/>
          <w:szCs w:val="23"/>
          <w:highlight w:val="lightGray"/>
        </w:rPr>
        <w:t>muma vad</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ja vai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pilnvarot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s personas paraksts,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atšifr</w:t>
      </w:r>
      <w:r w:rsidRPr="00471F71">
        <w:rPr>
          <w:rFonts w:ascii="TT646o00" w:hAnsi="TT646o00" w:cs="TT646o00"/>
          <w:sz w:val="23"/>
          <w:szCs w:val="23"/>
          <w:highlight w:val="lightGray"/>
        </w:rPr>
        <w:t>ē</w:t>
      </w:r>
      <w:r w:rsidRPr="00471F71">
        <w:rPr>
          <w:rFonts w:ascii="Times New Roman" w:hAnsi="Times New Roman" w:cs="Times New Roman"/>
          <w:sz w:val="23"/>
          <w:szCs w:val="23"/>
          <w:highlight w:val="lightGray"/>
        </w:rPr>
        <w:t>jums, z</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mogs.</w:t>
      </w:r>
    </w:p>
    <w:p w:rsidR="000D5958" w:rsidRPr="00A205C9" w:rsidRDefault="000D5958" w:rsidP="000D5958">
      <w:pPr>
        <w:spacing w:after="0"/>
        <w:jc w:val="center"/>
        <w:rPr>
          <w:rFonts w:ascii="Times New Roman" w:hAnsi="Times New Roman" w:cs="Times New Roman"/>
          <w:sz w:val="23"/>
          <w:szCs w:val="23"/>
        </w:rPr>
      </w:pPr>
    </w:p>
    <w:p w:rsidR="00BE4986" w:rsidRDefault="00BE4986"/>
    <w:sectPr w:rsidR="00BE4986" w:rsidSect="000D595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T646o00">
    <w:altName w:val="Times New Roman"/>
    <w:panose1 w:val="00000000000000000000"/>
    <w:charset w:val="EE"/>
    <w:family w:val="auto"/>
    <w:notTrueType/>
    <w:pitch w:val="default"/>
    <w:sig w:usb0="00000005" w:usb1="00000000" w:usb2="00000000" w:usb3="00000000" w:csb0="00000002" w:csb1="00000000"/>
  </w:font>
  <w:font w:name="TT649o00">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BA"/>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4A0"/>
    <w:multiLevelType w:val="hybridMultilevel"/>
    <w:tmpl w:val="FB7C52B2"/>
    <w:lvl w:ilvl="0" w:tplc="A57E6708">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
    <w:nsid w:val="3B281D8E"/>
    <w:multiLevelType w:val="hybridMultilevel"/>
    <w:tmpl w:val="3C9EC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958"/>
    <w:rsid w:val="000D5958"/>
    <w:rsid w:val="003B70AA"/>
    <w:rsid w:val="00603A3A"/>
    <w:rsid w:val="00BE4986"/>
    <w:rsid w:val="00D22119"/>
    <w:rsid w:val="00E1283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58"/>
  </w:style>
  <w:style w:type="paragraph" w:styleId="Heading2">
    <w:name w:val="heading 2"/>
    <w:basedOn w:val="Normal"/>
    <w:next w:val="Normal"/>
    <w:link w:val="Heading2Char"/>
    <w:uiPriority w:val="9"/>
    <w:semiHidden/>
    <w:unhideWhenUsed/>
    <w:qFormat/>
    <w:rsid w:val="000D59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0D5958"/>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D5958"/>
    <w:rPr>
      <w:rFonts w:ascii="Times New Roman" w:eastAsia="Lucida Sans Unicode" w:hAnsi="Times New Roman" w:cs="Times New Roman"/>
      <w:color w:val="000000"/>
      <w:sz w:val="28"/>
      <w:szCs w:val="28"/>
      <w:lang w:eastAsia="lv-LV"/>
    </w:rPr>
  </w:style>
  <w:style w:type="paragraph" w:styleId="ListParagraph">
    <w:name w:val="List Paragraph"/>
    <w:basedOn w:val="Normal"/>
    <w:uiPriority w:val="99"/>
    <w:qFormat/>
    <w:rsid w:val="000D5958"/>
    <w:pPr>
      <w:suppressAutoHyphens/>
      <w:ind w:left="720"/>
    </w:pPr>
    <w:rPr>
      <w:rFonts w:ascii="Calibri" w:eastAsia="Calibri" w:hAnsi="Calibri" w:cs="Times New Roman"/>
      <w:lang w:eastAsia="ar-SA"/>
    </w:rPr>
  </w:style>
  <w:style w:type="paragraph" w:styleId="NormalWeb">
    <w:name w:val="Normal (Web)"/>
    <w:basedOn w:val="Normal"/>
    <w:rsid w:val="000D5958"/>
    <w:pPr>
      <w:widowControl w:val="0"/>
      <w:suppressAutoHyphens/>
      <w:spacing w:before="100" w:after="0" w:line="240" w:lineRule="auto"/>
    </w:pPr>
    <w:rPr>
      <w:rFonts w:ascii="Times New Roman" w:eastAsia="Lucida Sans Unicode" w:hAnsi="Times New Roman" w:cs="Times New Roman"/>
      <w:color w:val="000000"/>
      <w:sz w:val="24"/>
      <w:szCs w:val="24"/>
      <w:lang w:val="en-GB" w:eastAsia="lv-LV"/>
    </w:rPr>
  </w:style>
  <w:style w:type="paragraph" w:customStyle="1" w:styleId="naislab">
    <w:name w:val="naislab"/>
    <w:basedOn w:val="Normal"/>
    <w:rsid w:val="000D595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0D59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D595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C108-6CAF-47C2-9122-A7CC823C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8885</Words>
  <Characters>5065</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Administrator</cp:lastModifiedBy>
  <cp:revision>2</cp:revision>
  <dcterms:created xsi:type="dcterms:W3CDTF">2012-02-20T21:42:00Z</dcterms:created>
  <dcterms:modified xsi:type="dcterms:W3CDTF">2012-03-01T18:54:00Z</dcterms:modified>
</cp:coreProperties>
</file>