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1906" w14:textId="7948E23C" w:rsidR="00D03B51" w:rsidRPr="00D03B51" w:rsidRDefault="00D03B51" w:rsidP="00D03B51">
      <w:pPr>
        <w:shd w:val="clear" w:color="auto" w:fill="FFFFFF"/>
        <w:spacing w:before="100" w:beforeAutospacing="1" w:after="100" w:afterAutospacing="1"/>
        <w:jc w:val="center"/>
        <w:rPr>
          <w:rFonts w:eastAsia="Times New Roman"/>
          <w:b/>
          <w:bCs/>
          <w:color w:val="212529"/>
          <w:lang w:eastAsia="lv-LV"/>
        </w:rPr>
      </w:pPr>
      <w:r w:rsidRPr="00D03B51">
        <w:rPr>
          <w:rFonts w:eastAsia="Times New Roman"/>
          <w:b/>
          <w:bCs/>
          <w:color w:val="212529"/>
          <w:lang w:eastAsia="lv-LV"/>
        </w:rPr>
        <w:t>Ogres novada ilgtspējīgas attīstības stratēģijas 2022.-2034.gadam 2.0. redakcijas un Ogres novada attīstības programmas 2022.-2027.gadam 2.0. redakcijas, un vides pārskata projekta publiskā apspriešana</w:t>
      </w:r>
    </w:p>
    <w:p w14:paraId="4A4DA0EB" w14:textId="2C281D91"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Pamatojoties uz Ogres novada pašvaldības (turpmāk – Pašvaldība) domes 2022.gada 16.jūnija lēmumu “Par Ogres novada ilgtspējīgas attīstības stratēģijas 2022.-2034.gadam 2.0.redakcijas,  Ogres novada attīstības programmas 2022.-2027.gadam 2.0. redakcijas un Vides pārskata projekta nodošanu publiskajai apspriešanai un institūciju atzinumu saņemšanai” publiskajai apspriešanai un institūciju atzinumu saņemšanai nodota Ogres novada ilgtspējīgas attīstības stratēģijas 2022.-2034.gadam 2.0. redakcija (turpmāk – Stratēģija), Ogres novada attīstības programmas 2022.-2027.gadam 2.0. redakcija (turpmāk – Attīstības programma) un minēto teritorijas attīstības plānošanas dokumentu Vides pārskata projekts.</w:t>
      </w:r>
    </w:p>
    <w:p w14:paraId="1F234358"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 xml:space="preserve">Saskaņā ar Covid-19 infekcijas izplatības pārvaldības likuma 21. panta otro daļu publiskā </w:t>
      </w:r>
      <w:r w:rsidRPr="00D03B51">
        <w:rPr>
          <w:rFonts w:eastAsia="Times New Roman"/>
          <w:b/>
          <w:bCs/>
          <w:color w:val="212529"/>
          <w:lang w:eastAsia="lv-LV"/>
        </w:rPr>
        <w:t>apspriešana norisinās neklātienes formā.</w:t>
      </w:r>
    </w:p>
    <w:p w14:paraId="26DB56FE"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 xml:space="preserve">Publiskā apspriešana norisināsies </w:t>
      </w:r>
      <w:r w:rsidRPr="00D03B51">
        <w:rPr>
          <w:rFonts w:eastAsia="Times New Roman"/>
          <w:b/>
          <w:bCs/>
          <w:color w:val="212529"/>
          <w:lang w:eastAsia="lv-LV"/>
        </w:rPr>
        <w:t>no 13.07.2022. līdz 11.08.2022.</w:t>
      </w:r>
    </w:p>
    <w:p w14:paraId="47A527D0" w14:textId="77777777" w:rsidR="00D03B51" w:rsidRPr="00D03B51" w:rsidRDefault="00D03B51" w:rsidP="00D03B51">
      <w:pPr>
        <w:shd w:val="clear" w:color="auto" w:fill="FFFFFF"/>
        <w:spacing w:after="20"/>
        <w:jc w:val="both"/>
        <w:rPr>
          <w:rFonts w:eastAsia="Times New Roman"/>
          <w:color w:val="212529"/>
          <w:lang w:eastAsia="lv-LV"/>
        </w:rPr>
      </w:pPr>
      <w:r w:rsidRPr="00D03B51">
        <w:rPr>
          <w:rFonts w:eastAsia="Times New Roman"/>
          <w:b/>
          <w:bCs/>
          <w:color w:val="212529"/>
          <w:lang w:eastAsia="lv-LV"/>
        </w:rPr>
        <w:t>Publiskās apspriešanas sanāksmes</w:t>
      </w:r>
      <w:r w:rsidRPr="00D03B51">
        <w:rPr>
          <w:rFonts w:eastAsia="Times New Roman"/>
          <w:color w:val="212529"/>
          <w:lang w:eastAsia="lv-LV"/>
        </w:rPr>
        <w:t> notiks videokonferences formātā </w:t>
      </w:r>
      <w:proofErr w:type="spellStart"/>
      <w:r w:rsidRPr="00D03B51">
        <w:rPr>
          <w:rFonts w:eastAsia="Times New Roman"/>
          <w:i/>
          <w:iCs/>
          <w:color w:val="212529"/>
          <w:lang w:eastAsia="lv-LV"/>
        </w:rPr>
        <w:t>Zoom</w:t>
      </w:r>
      <w:proofErr w:type="spellEnd"/>
      <w:r w:rsidRPr="00D03B51">
        <w:rPr>
          <w:rFonts w:eastAsia="Times New Roman"/>
          <w:i/>
          <w:iCs/>
          <w:color w:val="212529"/>
          <w:lang w:eastAsia="lv-LV"/>
        </w:rPr>
        <w:t> </w:t>
      </w:r>
      <w:r w:rsidRPr="00D03B51">
        <w:rPr>
          <w:rFonts w:eastAsia="Times New Roman"/>
          <w:color w:val="212529"/>
          <w:lang w:eastAsia="lv-LV"/>
        </w:rPr>
        <w:t>platformā:</w:t>
      </w:r>
    </w:p>
    <w:p w14:paraId="25F532BA" w14:textId="77777777" w:rsidR="00D03B51" w:rsidRPr="00D03B51" w:rsidRDefault="00D03B51" w:rsidP="00D03B51">
      <w:pPr>
        <w:shd w:val="clear" w:color="auto" w:fill="FFFFFF"/>
        <w:spacing w:after="20"/>
        <w:jc w:val="both"/>
        <w:rPr>
          <w:rFonts w:eastAsia="Times New Roman"/>
          <w:b/>
          <w:bCs/>
          <w:color w:val="212529"/>
          <w:lang w:eastAsia="lv-LV"/>
        </w:rPr>
      </w:pPr>
      <w:r w:rsidRPr="00D03B51">
        <w:rPr>
          <w:rFonts w:eastAsia="Times New Roman"/>
          <w:b/>
          <w:bCs/>
          <w:color w:val="212529"/>
          <w:lang w:eastAsia="lv-LV"/>
        </w:rPr>
        <w:t>27.07. plkst. 18:00;</w:t>
      </w:r>
    </w:p>
    <w:p w14:paraId="4AA7CD15" w14:textId="77777777" w:rsidR="00D03B51" w:rsidRPr="00D03B51" w:rsidRDefault="00D03B51" w:rsidP="00D03B51">
      <w:pPr>
        <w:shd w:val="clear" w:color="auto" w:fill="FFFFFF"/>
        <w:spacing w:after="100" w:afterAutospacing="1"/>
        <w:jc w:val="both"/>
        <w:rPr>
          <w:rFonts w:eastAsia="Times New Roman"/>
          <w:b/>
          <w:bCs/>
          <w:color w:val="212529"/>
          <w:lang w:eastAsia="lv-LV"/>
        </w:rPr>
      </w:pPr>
      <w:r w:rsidRPr="00D03B51">
        <w:rPr>
          <w:rFonts w:eastAsia="Times New Roman"/>
          <w:b/>
          <w:bCs/>
          <w:color w:val="212529"/>
          <w:lang w:eastAsia="lv-LV"/>
        </w:rPr>
        <w:t>28.07. plkst. 18:00.</w:t>
      </w:r>
    </w:p>
    <w:p w14:paraId="22736B5C" w14:textId="77001E10"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 Lai piedalītos publiskās apspriešanās sanāksmē, lūdzam reģistrēties, aizpildot pieteikuma</w:t>
      </w:r>
      <w:r>
        <w:rPr>
          <w:rFonts w:eastAsia="Times New Roman"/>
          <w:color w:val="212529"/>
          <w:lang w:eastAsia="lv-LV"/>
        </w:rPr>
        <w:t xml:space="preserve"> </w:t>
      </w:r>
      <w:hyperlink r:id="rId5" w:history="1">
        <w:r w:rsidRPr="00D03B51">
          <w:rPr>
            <w:rFonts w:eastAsia="Times New Roman"/>
            <w:color w:val="0000FF"/>
            <w:u w:val="single"/>
            <w:lang w:eastAsia="lv-LV"/>
          </w:rPr>
          <w:t>veidlapu</w:t>
        </w:r>
      </w:hyperlink>
      <w:r w:rsidRPr="00D03B51">
        <w:rPr>
          <w:rFonts w:eastAsia="Times New Roman"/>
          <w:color w:val="212529"/>
          <w:lang w:eastAsia="lv-LV"/>
        </w:rPr>
        <w:t xml:space="preserve"> </w:t>
      </w:r>
      <w:r>
        <w:rPr>
          <w:rFonts w:eastAsia="Times New Roman"/>
          <w:color w:val="212529"/>
          <w:lang w:eastAsia="lv-LV"/>
        </w:rPr>
        <w:t>Pašvaldības tīmekļa vietnes (</w:t>
      </w:r>
      <w:hyperlink r:id="rId6" w:history="1">
        <w:r w:rsidRPr="005F2F0A">
          <w:rPr>
            <w:rStyle w:val="Hyperlink"/>
            <w:rFonts w:eastAsia="Times New Roman"/>
            <w:lang w:eastAsia="lv-LV"/>
          </w:rPr>
          <w:t>www.ogresnovads.lv</w:t>
        </w:r>
      </w:hyperlink>
      <w:r>
        <w:rPr>
          <w:rFonts w:eastAsia="Times New Roman"/>
          <w:color w:val="212529"/>
          <w:lang w:eastAsia="lv-LV"/>
        </w:rPr>
        <w:t>) sadaļā “Attīstība/Publiskās un sabiedriskās apspriešanas”</w:t>
      </w:r>
      <w:r w:rsidRPr="00D03B51">
        <w:rPr>
          <w:rFonts w:eastAsia="Times New Roman"/>
          <w:color w:val="212529"/>
          <w:lang w:eastAsia="lv-LV"/>
        </w:rPr>
        <w:t>. Piekļuves saite tiks nosūtīta uz Jūsu norādīto e-pasta adresi.</w:t>
      </w:r>
    </w:p>
    <w:p w14:paraId="40EA5BE6" w14:textId="0E79A268"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lang w:eastAsia="lv-LV"/>
        </w:rPr>
        <w:t>Ar Stratēģijas, Attīstības programmas un Vides pārskata </w:t>
      </w:r>
      <w:r w:rsidRPr="00D03B51">
        <w:rPr>
          <w:rFonts w:eastAsia="Times New Roman"/>
          <w:b/>
          <w:bCs/>
          <w:lang w:eastAsia="lv-LV"/>
        </w:rPr>
        <w:t xml:space="preserve">redakciju </w:t>
      </w:r>
      <w:r w:rsidRPr="00D03B51">
        <w:rPr>
          <w:rFonts w:eastAsia="Times New Roman"/>
          <w:b/>
          <w:bCs/>
          <w:color w:val="212529"/>
          <w:lang w:eastAsia="lv-LV"/>
        </w:rPr>
        <w:t>elektroniskā formātā</w:t>
      </w:r>
      <w:r w:rsidRPr="00D03B51">
        <w:rPr>
          <w:rFonts w:eastAsia="Times New Roman"/>
          <w:color w:val="212529"/>
          <w:lang w:eastAsia="lv-LV"/>
        </w:rPr>
        <w:t xml:space="preserve"> var iepazīties</w:t>
      </w:r>
      <w:r w:rsidR="00180B8F">
        <w:rPr>
          <w:rFonts w:eastAsia="Times New Roman"/>
          <w:color w:val="212529"/>
          <w:lang w:eastAsia="lv-LV"/>
        </w:rPr>
        <w:t xml:space="preserve"> Pašvaldības tīmekļa vietnes sadaļā “</w:t>
      </w:r>
      <w:hyperlink r:id="rId7" w:history="1">
        <w:r w:rsidR="00180B8F" w:rsidRPr="00180B8F">
          <w:rPr>
            <w:rStyle w:val="Hyperlink"/>
            <w:rFonts w:eastAsia="Times New Roman"/>
            <w:lang w:eastAsia="lv-LV"/>
          </w:rPr>
          <w:t>Attīstība/Publiskās un sabiedriskās apspriešanas</w:t>
        </w:r>
      </w:hyperlink>
      <w:r w:rsidR="00180B8F">
        <w:rPr>
          <w:rFonts w:eastAsia="Times New Roman"/>
          <w:color w:val="212529"/>
          <w:lang w:eastAsia="lv-LV"/>
        </w:rPr>
        <w:t>” un</w:t>
      </w:r>
      <w:r w:rsidRPr="00D03B51">
        <w:rPr>
          <w:rFonts w:eastAsia="Times New Roman"/>
          <w:color w:val="212529"/>
          <w:lang w:eastAsia="lv-LV"/>
        </w:rPr>
        <w:t> Valsts vienotajā ģeotelpiskās informācijas portālā geolatvija.lv.</w:t>
      </w:r>
    </w:p>
    <w:p w14:paraId="79D45839" w14:textId="77777777" w:rsidR="00D03B51" w:rsidRPr="00D03B51" w:rsidRDefault="00D03B51" w:rsidP="00D03B51">
      <w:pPr>
        <w:shd w:val="clear" w:color="auto" w:fill="FFFFFF"/>
        <w:spacing w:after="20"/>
        <w:jc w:val="both"/>
        <w:rPr>
          <w:rFonts w:eastAsia="Times New Roman"/>
          <w:color w:val="212529"/>
          <w:lang w:eastAsia="lv-LV"/>
        </w:rPr>
      </w:pPr>
      <w:r w:rsidRPr="00D03B51">
        <w:rPr>
          <w:rFonts w:eastAsia="Times New Roman"/>
          <w:color w:val="212529"/>
          <w:lang w:eastAsia="lv-LV"/>
        </w:rPr>
        <w:t>Stratēģijas, Attīstības programmas un Vides pārskata redakcijas pieejamība papīra formātā tiks nodrošināta:</w:t>
      </w:r>
    </w:p>
    <w:p w14:paraId="62498275"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Pašvaldības centrālās administrācijas ēkā Brīvības ielā 33, Ogrē, Ogres nov., LV-5001 (tālr. 65071160);</w:t>
      </w:r>
    </w:p>
    <w:p w14:paraId="391EB72B"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Birzgales pagasta pārvaldes ēkā, Lindes ielā 2, Birzgalē, Birzgales pag., Ogres nov., LV-5003 (tālr. 65034212);</w:t>
      </w:r>
    </w:p>
    <w:p w14:paraId="6A65BF57"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Ikšķiles pilsētas un Tīnūžu pagasta pārvaldes ēkā, Peldu ielā 22, Ikšķilē, Ogres nov., LV-5052 (tālr. 65030202);</w:t>
      </w:r>
    </w:p>
    <w:p w14:paraId="5C6A5AD3"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Jumpravas pagasta pārvaldes ēkā, Daugavas ielā 6, Jumpravā, Jumpravas pag., Ogres nov., LV-5022 (tālr. 65057472);</w:t>
      </w:r>
    </w:p>
    <w:p w14:paraId="772B31E8"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Krapes pagasta pārvaldes ēkā, “Pagasta padomes ēka”, Krapē, Krapes pag., Ogres nov., LV-5012 (tālr. 65055630);</w:t>
      </w:r>
    </w:p>
    <w:p w14:paraId="4F2688A4"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Ķeguma pilsētas pārvaldes ēkā, Lāčplēša ielā 1, Ķegumā, Ogres nov., LV-5020 (tālr. 65038883);</w:t>
      </w:r>
    </w:p>
    <w:p w14:paraId="1454E30F"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Ķeipenes pagasta pārvaldes ēkā, “Saulīte”, Ķeipenē, Ķeipenes pag., Ogres nov., LV-5062 (tālr. 65033598);</w:t>
      </w:r>
    </w:p>
    <w:p w14:paraId="17976402"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Lauberes pagasta pārvaldes ēkā, Ozolu ielā 3, Lauberē, Lauberes pag., Ogres nov., LV-5044 (tālr. 650 37290);</w:t>
      </w:r>
    </w:p>
    <w:p w14:paraId="25E464FD"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Lēdmanes pagasta pārvaldes ēkā, “Pagastmāja”, Lēdmanē, Lēdmanes pag., Ogres nov., LV-5011 (tālr.: 65058733; 65058721);</w:t>
      </w:r>
    </w:p>
    <w:p w14:paraId="46030398"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lastRenderedPageBreak/>
        <w:t>Lielvārdes pilsētas un pagasta pārvaldes ēkā, Raiņa ielā 11A, Lielvārdē, Lielvārdes nov., LV-5070 (tālr.: 65053370; 65020834);</w:t>
      </w:r>
    </w:p>
    <w:p w14:paraId="7CADB535"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Madlienas pagasta pārvaldes ēkā, “Pagastmāja”, Madlienā, Madlienas pag., LV-5045 (tālr. 65039185);</w:t>
      </w:r>
    </w:p>
    <w:p w14:paraId="2F0DAE09"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Mazozolu pagasta pārvaldes ēkā, Rīgas ielā 5, Līčupē, Mazozolu pag., Ogres nov., LV-5065 (tālr. 65031955);</w:t>
      </w:r>
    </w:p>
    <w:p w14:paraId="3ADA6BCE"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Meņģeles pagasta pārvaldes ēkā, “Pagastmāja”, Meņģelē, Meņģeles pag., Ogres nov., LV-5047 (tālr. 65029171);</w:t>
      </w:r>
    </w:p>
    <w:p w14:paraId="6866A430"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Ogresgala pagasta pārvaldes ēkā, Bumbieru ielā 9, Ogresgalā, Ogresgala pag., Ogres nov., LV-5041(tālr. 65035124);</w:t>
      </w:r>
    </w:p>
    <w:p w14:paraId="44B5A3EC"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Rembates pagasta pārvaldes ēkā, Lielvārdes ielā 3, Rembatē, Rembates pag., Ogres nov., LV-5016 (tālr.: 65055832; 65038883);</w:t>
      </w:r>
    </w:p>
    <w:p w14:paraId="075E7073"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Suntažu pagasta pārvaldes ēkā, “Tautas nams”, Suntažos, Suntažu pag., Ogres nov., LV-5060 (tālr. 65037004);</w:t>
      </w:r>
    </w:p>
    <w:p w14:paraId="4D0CABD7" w14:textId="77777777" w:rsidR="00D03B51" w:rsidRPr="00D03B51" w:rsidRDefault="00D03B51" w:rsidP="00D03B51">
      <w:pPr>
        <w:numPr>
          <w:ilvl w:val="0"/>
          <w:numId w:val="1"/>
        </w:numPr>
        <w:shd w:val="clear" w:color="auto" w:fill="FFFFFF"/>
        <w:spacing w:after="20"/>
        <w:rPr>
          <w:rFonts w:eastAsia="Times New Roman"/>
          <w:color w:val="212529"/>
          <w:lang w:eastAsia="lv-LV"/>
        </w:rPr>
      </w:pPr>
      <w:r w:rsidRPr="00D03B51">
        <w:rPr>
          <w:rFonts w:eastAsia="Times New Roman"/>
          <w:color w:val="212529"/>
          <w:lang w:eastAsia="lv-LV"/>
        </w:rPr>
        <w:t>Taurupes pagasta pārvaldes ēkā, Bērzu ielā 6, Taurupē, Taurupes pag., Ogres nov., LV-5064 (tālr.: 65055261; 65055266);</w:t>
      </w:r>
    </w:p>
    <w:p w14:paraId="7A293C8E" w14:textId="77777777" w:rsidR="00D03B51" w:rsidRPr="00D03B51" w:rsidRDefault="00D03B51" w:rsidP="00D03B51">
      <w:pPr>
        <w:numPr>
          <w:ilvl w:val="0"/>
          <w:numId w:val="1"/>
        </w:numPr>
        <w:shd w:val="clear" w:color="auto" w:fill="FFFFFF"/>
        <w:spacing w:before="100" w:beforeAutospacing="1" w:after="100" w:afterAutospacing="1"/>
        <w:rPr>
          <w:rFonts w:eastAsia="Times New Roman"/>
          <w:color w:val="212529"/>
          <w:lang w:eastAsia="lv-LV"/>
        </w:rPr>
      </w:pPr>
      <w:r w:rsidRPr="00D03B51">
        <w:rPr>
          <w:rFonts w:eastAsia="Times New Roman"/>
          <w:color w:val="212529"/>
          <w:lang w:eastAsia="lv-LV"/>
        </w:rPr>
        <w:t>Tomes pagasta pārvaldes ēkā, “Ābelītes”, Tomē, Tomes pag., Ogres nov., LV-5020 (tālr. 26651835).</w:t>
      </w:r>
    </w:p>
    <w:p w14:paraId="1B05118B"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b/>
          <w:bCs/>
          <w:color w:val="212529"/>
          <w:lang w:eastAsia="lv-LV"/>
        </w:rPr>
        <w:t>Lai saņemtu konsultāciju</w:t>
      </w:r>
      <w:r w:rsidRPr="00D03B51">
        <w:rPr>
          <w:rFonts w:eastAsia="Times New Roman"/>
          <w:color w:val="212529"/>
          <w:lang w:eastAsia="lv-LV"/>
        </w:rPr>
        <w:t xml:space="preserve">, lūdzam sazināties ar Pašvaldības centrālās administrācijas Attīstības un plānošanas nodaļas telpisko plānotāju Jevgēniju </w:t>
      </w:r>
      <w:proofErr w:type="spellStart"/>
      <w:r w:rsidRPr="00D03B51">
        <w:rPr>
          <w:rFonts w:eastAsia="Times New Roman"/>
          <w:color w:val="212529"/>
          <w:lang w:eastAsia="lv-LV"/>
        </w:rPr>
        <w:t>Duboku</w:t>
      </w:r>
      <w:proofErr w:type="spellEnd"/>
      <w:r w:rsidRPr="00D03B51">
        <w:rPr>
          <w:rFonts w:eastAsia="Times New Roman"/>
          <w:color w:val="212529"/>
          <w:lang w:eastAsia="lv-LV"/>
        </w:rPr>
        <w:t>: tālr. 65046174; e-pasta adrese: </w:t>
      </w:r>
      <w:hyperlink r:id="rId8" w:history="1">
        <w:r w:rsidRPr="00D03B51">
          <w:rPr>
            <w:rFonts w:eastAsia="Times New Roman"/>
            <w:color w:val="0000FF"/>
            <w:u w:val="single"/>
            <w:lang w:eastAsia="lv-LV"/>
          </w:rPr>
          <w:t>jevgenijs.duboks@ogresnovads.lv</w:t>
        </w:r>
      </w:hyperlink>
      <w:r w:rsidRPr="00D03B51">
        <w:rPr>
          <w:rFonts w:eastAsia="Times New Roman"/>
          <w:color w:val="212529"/>
          <w:lang w:eastAsia="lv-LV"/>
        </w:rPr>
        <w:t>.</w:t>
      </w:r>
    </w:p>
    <w:p w14:paraId="2C7EC203"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b/>
          <w:bCs/>
          <w:color w:val="212529"/>
          <w:lang w:eastAsia="lv-LV"/>
        </w:rPr>
        <w:t>Rakstiskie priekšlikumi un ierosinājumi</w:t>
      </w:r>
      <w:r w:rsidRPr="00D03B51">
        <w:rPr>
          <w:rFonts w:eastAsia="Times New Roman"/>
          <w:color w:val="212529"/>
          <w:lang w:eastAsia="lv-LV"/>
        </w:rPr>
        <w:t> publiskās apspriešanas laikā sūtami pa pastu vai iesniedzami Pašvaldības centrālajā administrācijā un augstāk norādītajās Pašvaldības pārvaldēs.</w:t>
      </w:r>
    </w:p>
    <w:p w14:paraId="15E5AFA1"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Elektroniski parakstīti iesniegumi nosūtami uz elektronisko pastu </w:t>
      </w:r>
      <w:hyperlink r:id="rId9" w:history="1">
        <w:r w:rsidRPr="00D03B51">
          <w:rPr>
            <w:rFonts w:eastAsia="Times New Roman"/>
            <w:color w:val="0000FF"/>
            <w:u w:val="single"/>
            <w:lang w:eastAsia="lv-LV"/>
          </w:rPr>
          <w:t>ogredome@ogresnovads.lv</w:t>
        </w:r>
      </w:hyperlink>
      <w:r w:rsidRPr="00D03B51">
        <w:rPr>
          <w:rFonts w:eastAsia="Times New Roman"/>
          <w:color w:val="212529"/>
          <w:lang w:eastAsia="lv-LV"/>
        </w:rPr>
        <w:t>.</w:t>
      </w:r>
    </w:p>
    <w:p w14:paraId="278F725B"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Priekšlikumus iespējams iesniegt arī Valsts vienotajā ģeotelpiskās informācijas portālā geolatvija.lv.</w:t>
      </w:r>
    </w:p>
    <w:p w14:paraId="4522CFBF" w14:textId="77777777" w:rsidR="00D03B51" w:rsidRPr="00D03B51" w:rsidRDefault="00D03B51" w:rsidP="00D03B51">
      <w:pPr>
        <w:shd w:val="clear" w:color="auto" w:fill="FFFFFF"/>
        <w:spacing w:before="100" w:beforeAutospacing="1" w:after="100" w:afterAutospacing="1"/>
        <w:jc w:val="both"/>
        <w:rPr>
          <w:rFonts w:eastAsia="Times New Roman"/>
          <w:color w:val="212529"/>
          <w:lang w:eastAsia="lv-LV"/>
        </w:rPr>
      </w:pPr>
      <w:r w:rsidRPr="00D03B51">
        <w:rPr>
          <w:rFonts w:eastAsia="Times New Roman"/>
          <w:color w:val="212529"/>
          <w:lang w:eastAsia="lv-LV"/>
        </w:rPr>
        <w:t>Atbilstoši Vides pārraudzības valsts biroja 2021. gada 11. augusta lēmumam Nr. 4-02/78 “</w:t>
      </w:r>
      <w:hyperlink r:id="rId10" w:history="1">
        <w:r w:rsidRPr="00D03B51">
          <w:rPr>
            <w:rFonts w:eastAsia="Times New Roman"/>
            <w:color w:val="0000FF"/>
            <w:u w:val="single"/>
            <w:lang w:eastAsia="lv-LV"/>
          </w:rPr>
          <w:t>Par stratēģiskā ietekmes uz vidi novērtējuma procedūras piemērošanu</w:t>
        </w:r>
      </w:hyperlink>
      <w:r w:rsidRPr="00D03B51">
        <w:rPr>
          <w:rFonts w:eastAsia="Times New Roman"/>
          <w:color w:val="212529"/>
          <w:lang w:eastAsia="lv-LV"/>
        </w:rPr>
        <w:t>” Stratēģijai un Attīstības programmai piemērota stratēģiskā ietekmes uz vidi novērtējuma procedūra, kuras ietvaros izvērtēta šo teritorijas attīstības plānošanas dokumentu iespējamā ietekme uz vidi un noteikti pasākumi tās novēršanai vai mazināšanai, izstrādājot Vides pārskatu.</w:t>
      </w:r>
    </w:p>
    <w:p w14:paraId="63889F30" w14:textId="77777777" w:rsidR="00D03B51" w:rsidRPr="00D03B51" w:rsidRDefault="00D03B51" w:rsidP="00D03B51">
      <w:pPr>
        <w:shd w:val="clear" w:color="auto" w:fill="FFFFFF"/>
        <w:spacing w:before="100" w:beforeAutospacing="1" w:after="100" w:afterAutospacing="1"/>
        <w:rPr>
          <w:rFonts w:eastAsia="Times New Roman"/>
          <w:color w:val="212529"/>
          <w:lang w:eastAsia="lv-LV"/>
        </w:rPr>
      </w:pPr>
      <w:r w:rsidRPr="00D03B51">
        <w:rPr>
          <w:rFonts w:eastAsia="Times New Roman"/>
          <w:color w:val="212529"/>
          <w:lang w:eastAsia="lv-LV"/>
        </w:rPr>
        <w:t>Stratēģijas un Attīstības programmas redakciju izstrādāja SIA “Ķemers Business and Law Company”, tīmekļa vietne: </w:t>
      </w:r>
      <w:hyperlink r:id="rId11" w:history="1">
        <w:r w:rsidRPr="00D03B51">
          <w:rPr>
            <w:rFonts w:eastAsia="Times New Roman"/>
            <w:color w:val="0000FF"/>
            <w:u w:val="single"/>
            <w:lang w:eastAsia="lv-LV"/>
          </w:rPr>
          <w:t>https://kblc.lv/</w:t>
        </w:r>
      </w:hyperlink>
      <w:r w:rsidRPr="00D03B51">
        <w:rPr>
          <w:rFonts w:eastAsia="Times New Roman"/>
          <w:color w:val="212529"/>
          <w:lang w:eastAsia="lv-LV"/>
        </w:rPr>
        <w:t>; tālr. 29285297.</w:t>
      </w:r>
    </w:p>
    <w:p w14:paraId="0B4FD540" w14:textId="77777777" w:rsidR="00D03B51" w:rsidRPr="00D03B51" w:rsidRDefault="00D03B51" w:rsidP="00D03B51">
      <w:pPr>
        <w:shd w:val="clear" w:color="auto" w:fill="FFFFFF"/>
        <w:spacing w:before="100" w:beforeAutospacing="1" w:after="100" w:afterAutospacing="1"/>
        <w:rPr>
          <w:rFonts w:eastAsia="Times New Roman"/>
          <w:color w:val="212529"/>
          <w:lang w:eastAsia="lv-LV"/>
        </w:rPr>
      </w:pPr>
      <w:r w:rsidRPr="00D03B51">
        <w:rPr>
          <w:rFonts w:eastAsia="Times New Roman"/>
          <w:color w:val="212529"/>
          <w:lang w:eastAsia="lv-LV"/>
        </w:rPr>
        <w:t>Vides pārskata projektu izstrādāja SIA “Firma L4”; tīmekļa vietne: </w:t>
      </w:r>
      <w:hyperlink r:id="rId12" w:history="1">
        <w:r w:rsidRPr="00D03B51">
          <w:rPr>
            <w:rFonts w:eastAsia="Times New Roman"/>
            <w:color w:val="0000FF"/>
            <w:u w:val="single"/>
            <w:lang w:eastAsia="lv-LV"/>
          </w:rPr>
          <w:t>www.l4.lv</w:t>
        </w:r>
      </w:hyperlink>
      <w:r w:rsidRPr="00D03B51">
        <w:rPr>
          <w:rFonts w:eastAsia="Times New Roman"/>
          <w:color w:val="212529"/>
          <w:lang w:eastAsia="lv-LV"/>
        </w:rPr>
        <w:t>;  tālr. 29545377.</w:t>
      </w:r>
    </w:p>
    <w:p w14:paraId="10B49F71"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3" w:history="1">
        <w:r w:rsidR="00D03B51" w:rsidRPr="00D03B51">
          <w:rPr>
            <w:rFonts w:eastAsia="Times New Roman"/>
            <w:color w:val="0000FF"/>
            <w:u w:val="single"/>
            <w:lang w:eastAsia="lv-LV"/>
          </w:rPr>
          <w:t>Ogres novada pašvaldības domes 2022.gada 16.jūnija lēmums “Par Ogres novada ilgtspējīgas attīstības stratēģijas 2022.-2034.gadam 2.0.redakcijas,  Ogres novada attīstības programmas 2022.-2027.gadam 2.0. redakcijas un Vides pārskata projekta nodošanu publiskajai apspriešanai un institūciju atzinumu saņemšanai”</w:t>
        </w:r>
      </w:hyperlink>
    </w:p>
    <w:p w14:paraId="7C556573"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4" w:history="1">
        <w:r w:rsidR="00D03B51" w:rsidRPr="00D03B51">
          <w:rPr>
            <w:rFonts w:eastAsia="Times New Roman"/>
            <w:color w:val="0000FF"/>
            <w:u w:val="single"/>
            <w:lang w:eastAsia="lv-LV"/>
          </w:rPr>
          <w:t>Ogres novada ilgtspējīgas attīstības stratēģija 2022.-2034.gadam</w:t>
        </w:r>
      </w:hyperlink>
    </w:p>
    <w:p w14:paraId="7321DDD7"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5" w:history="1">
        <w:r w:rsidR="00D03B51" w:rsidRPr="00D03B51">
          <w:rPr>
            <w:rFonts w:eastAsia="Times New Roman"/>
            <w:color w:val="0000FF"/>
            <w:u w:val="single"/>
            <w:lang w:eastAsia="lv-LV"/>
          </w:rPr>
          <w:t>Ogres novada attīstības programma 2022.-2027.gadam</w:t>
        </w:r>
      </w:hyperlink>
    </w:p>
    <w:p w14:paraId="7548850D"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6" w:history="1">
        <w:r w:rsidR="00D03B51" w:rsidRPr="00D03B51">
          <w:rPr>
            <w:rFonts w:eastAsia="Times New Roman"/>
            <w:color w:val="0000FF"/>
            <w:u w:val="single"/>
            <w:lang w:eastAsia="lv-LV"/>
          </w:rPr>
          <w:t>Ogres novada Rīcības plāns 2022.-2027.gadam</w:t>
        </w:r>
      </w:hyperlink>
    </w:p>
    <w:p w14:paraId="7A253EFA"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7" w:history="1">
        <w:r w:rsidR="00D03B51" w:rsidRPr="00D03B51">
          <w:rPr>
            <w:rFonts w:eastAsia="Times New Roman"/>
            <w:color w:val="0000FF"/>
            <w:u w:val="single"/>
            <w:lang w:eastAsia="lv-LV"/>
          </w:rPr>
          <w:t>Ogres novada Investīciju plāns 2022.-2027.gadam</w:t>
        </w:r>
      </w:hyperlink>
    </w:p>
    <w:p w14:paraId="01EDF562"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8" w:history="1">
        <w:r w:rsidR="00D03B51" w:rsidRPr="00D03B51">
          <w:rPr>
            <w:rFonts w:eastAsia="Times New Roman"/>
            <w:color w:val="0000FF"/>
            <w:u w:val="single"/>
            <w:lang w:eastAsia="lv-LV"/>
          </w:rPr>
          <w:t>Ogres novada ilgtspējīgas attīstības stratēģijas 2022.-2034.gadam un Ogres novada attīstības programmas 2022.-2027.gadam īstenošanas uzraudzības kārtība</w:t>
        </w:r>
      </w:hyperlink>
    </w:p>
    <w:p w14:paraId="20EB6E1F"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19" w:history="1">
        <w:r w:rsidR="00D03B51" w:rsidRPr="00D03B51">
          <w:rPr>
            <w:rFonts w:eastAsia="Times New Roman"/>
            <w:color w:val="0000FF"/>
            <w:u w:val="single"/>
            <w:lang w:eastAsia="lv-LV"/>
          </w:rPr>
          <w:t>Ogres novada ilgtspējīgas attīstības stratēģijas 2022.-2034.gadam un Ogres novada attīstības programmas 2022.-2027.gadam Vides pārskats</w:t>
        </w:r>
      </w:hyperlink>
    </w:p>
    <w:p w14:paraId="02EC539D"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20" w:history="1">
        <w:r w:rsidR="00D03B51" w:rsidRPr="00D03B51">
          <w:rPr>
            <w:rFonts w:eastAsia="Times New Roman"/>
            <w:color w:val="0000FF"/>
            <w:u w:val="single"/>
            <w:lang w:eastAsia="lv-LV"/>
          </w:rPr>
          <w:t>Ogres novada ilgtspējīgas attīstības stratēģijas 2022.-2034.gadam un Ogres novada attīstības programmas 2022.-2027.gadam Vides pārskata kopsavilkums</w:t>
        </w:r>
      </w:hyperlink>
    </w:p>
    <w:p w14:paraId="3F5068EE" w14:textId="77777777" w:rsidR="00D03B51" w:rsidRPr="00D03B51" w:rsidRDefault="00772B59" w:rsidP="00D03B51">
      <w:pPr>
        <w:shd w:val="clear" w:color="auto" w:fill="FFFFFF"/>
        <w:spacing w:before="100" w:beforeAutospacing="1" w:after="100" w:afterAutospacing="1"/>
        <w:rPr>
          <w:rFonts w:eastAsia="Times New Roman"/>
          <w:color w:val="212529"/>
          <w:lang w:eastAsia="lv-LV"/>
        </w:rPr>
      </w:pPr>
      <w:hyperlink r:id="rId21" w:history="1">
        <w:r w:rsidR="00D03B51" w:rsidRPr="00D03B51">
          <w:rPr>
            <w:rFonts w:eastAsia="Times New Roman"/>
            <w:color w:val="0000FF"/>
            <w:u w:val="single"/>
            <w:lang w:eastAsia="lv-LV"/>
          </w:rPr>
          <w:t>Pašreizējās situācijas raksturojums</w:t>
        </w:r>
      </w:hyperlink>
    </w:p>
    <w:p w14:paraId="3BD33D32" w14:textId="77777777" w:rsidR="00794101" w:rsidRPr="00D03B51" w:rsidRDefault="00794101"/>
    <w:sectPr w:rsidR="00794101" w:rsidRPr="00D03B51" w:rsidSect="00C44A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1FE"/>
    <w:multiLevelType w:val="multilevel"/>
    <w:tmpl w:val="2680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1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51"/>
    <w:rsid w:val="00180B8F"/>
    <w:rsid w:val="00334642"/>
    <w:rsid w:val="00560CC5"/>
    <w:rsid w:val="006E4F0E"/>
    <w:rsid w:val="00772B59"/>
    <w:rsid w:val="00794101"/>
    <w:rsid w:val="00C44A6B"/>
    <w:rsid w:val="00D03B51"/>
    <w:rsid w:val="00E41D62"/>
    <w:rsid w:val="00EC1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BE46"/>
  <w15:chartTrackingRefBased/>
  <w15:docId w15:val="{B3639123-2F36-4A07-ACA3-2D168019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B51"/>
    <w:pPr>
      <w:spacing w:before="100" w:beforeAutospacing="1" w:after="100" w:afterAutospacing="1"/>
    </w:pPr>
    <w:rPr>
      <w:rFonts w:eastAsia="Times New Roman"/>
      <w:lang w:eastAsia="lv-LV"/>
    </w:rPr>
  </w:style>
  <w:style w:type="character" w:styleId="Strong">
    <w:name w:val="Strong"/>
    <w:basedOn w:val="DefaultParagraphFont"/>
    <w:uiPriority w:val="22"/>
    <w:qFormat/>
    <w:rsid w:val="00D03B51"/>
    <w:rPr>
      <w:b/>
      <w:bCs/>
    </w:rPr>
  </w:style>
  <w:style w:type="character" w:styleId="Emphasis">
    <w:name w:val="Emphasis"/>
    <w:basedOn w:val="DefaultParagraphFont"/>
    <w:uiPriority w:val="20"/>
    <w:qFormat/>
    <w:rsid w:val="00D03B51"/>
    <w:rPr>
      <w:i/>
      <w:iCs/>
    </w:rPr>
  </w:style>
  <w:style w:type="character" w:styleId="Hyperlink">
    <w:name w:val="Hyperlink"/>
    <w:basedOn w:val="DefaultParagraphFont"/>
    <w:uiPriority w:val="99"/>
    <w:unhideWhenUsed/>
    <w:rsid w:val="00D03B51"/>
    <w:rPr>
      <w:color w:val="0000FF"/>
      <w:u w:val="single"/>
    </w:rPr>
  </w:style>
  <w:style w:type="character" w:styleId="UnresolvedMention">
    <w:name w:val="Unresolved Mention"/>
    <w:basedOn w:val="DefaultParagraphFont"/>
    <w:uiPriority w:val="99"/>
    <w:semiHidden/>
    <w:unhideWhenUsed/>
    <w:rsid w:val="00D03B51"/>
    <w:rPr>
      <w:color w:val="605E5C"/>
      <w:shd w:val="clear" w:color="auto" w:fill="E1DFDD"/>
    </w:rPr>
  </w:style>
  <w:style w:type="character" w:styleId="FollowedHyperlink">
    <w:name w:val="FollowedHyperlink"/>
    <w:basedOn w:val="DefaultParagraphFont"/>
    <w:uiPriority w:val="99"/>
    <w:semiHidden/>
    <w:unhideWhenUsed/>
    <w:rsid w:val="00180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7745">
      <w:bodyDiv w:val="1"/>
      <w:marLeft w:val="0"/>
      <w:marRight w:val="0"/>
      <w:marTop w:val="0"/>
      <w:marBottom w:val="0"/>
      <w:divBdr>
        <w:top w:val="none" w:sz="0" w:space="0" w:color="auto"/>
        <w:left w:val="none" w:sz="0" w:space="0" w:color="auto"/>
        <w:bottom w:val="none" w:sz="0" w:space="0" w:color="auto"/>
        <w:right w:val="none" w:sz="0" w:space="0" w:color="auto"/>
      </w:divBdr>
    </w:div>
    <w:div w:id="15449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vgenijs.duboks@ogresnovads.lv" TargetMode="External"/><Relationship Id="rId13" Type="http://schemas.openxmlformats.org/officeDocument/2006/relationships/hyperlink" Target="https://tapis.gov.lv/tapis/lv/downloads/141664" TargetMode="External"/><Relationship Id="rId18" Type="http://schemas.openxmlformats.org/officeDocument/2006/relationships/hyperlink" Target="https://tapis.gov.lv/tapis/lv/downloads/141680" TargetMode="External"/><Relationship Id="rId3" Type="http://schemas.openxmlformats.org/officeDocument/2006/relationships/settings" Target="settings.xml"/><Relationship Id="rId21" Type="http://schemas.openxmlformats.org/officeDocument/2006/relationships/hyperlink" Target="https://tapis.gov.lv/tapis/lv/downloads/141683" TargetMode="External"/><Relationship Id="rId7" Type="http://schemas.openxmlformats.org/officeDocument/2006/relationships/hyperlink" Target="https://www.ogresnovads.lv/lv/jaunums/ogres-novada-ilgtspejigas-attistibas-strategijas-2022-2034gadam-20-redakcijas-un-ogres-novada-attistibas-programmas-2022-2027gadam-20-redakcijas-un-vides-parskata-projekta-publiska-apspriesana" TargetMode="External"/><Relationship Id="rId12" Type="http://schemas.openxmlformats.org/officeDocument/2006/relationships/hyperlink" Target="http://www.l4.lv/" TargetMode="External"/><Relationship Id="rId17" Type="http://schemas.openxmlformats.org/officeDocument/2006/relationships/hyperlink" Target="https://tapis.gov.lv/tapis/lv/downloads/141685" TargetMode="External"/><Relationship Id="rId2" Type="http://schemas.openxmlformats.org/officeDocument/2006/relationships/styles" Target="styles.xml"/><Relationship Id="rId16" Type="http://schemas.openxmlformats.org/officeDocument/2006/relationships/hyperlink" Target="https://tapis.gov.lv/tapis/lv/downloads/141684" TargetMode="External"/><Relationship Id="rId20" Type="http://schemas.openxmlformats.org/officeDocument/2006/relationships/hyperlink" Target="https://tapis.gov.lv/tapis/lv/downloads/141682" TargetMode="External"/><Relationship Id="rId1" Type="http://schemas.openxmlformats.org/officeDocument/2006/relationships/numbering" Target="numbering.xml"/><Relationship Id="rId6" Type="http://schemas.openxmlformats.org/officeDocument/2006/relationships/hyperlink" Target="http://www.ogresnovads.lv" TargetMode="External"/><Relationship Id="rId11" Type="http://schemas.openxmlformats.org/officeDocument/2006/relationships/hyperlink" Target="https://kblc.lv/" TargetMode="External"/><Relationship Id="rId5" Type="http://schemas.openxmlformats.org/officeDocument/2006/relationships/hyperlink" Target="https://docs.google.com/forms/d/e/1FAIpQLSeST115Zw9ykeG77ihh3Geag6I_NVDyxC6JGmeuLWFzwHLX_A/viewform?usp=sf_link" TargetMode="External"/><Relationship Id="rId15" Type="http://schemas.openxmlformats.org/officeDocument/2006/relationships/hyperlink" Target="https://tapis.gov.lv/tapis/lv/downloads/141679" TargetMode="External"/><Relationship Id="rId23" Type="http://schemas.openxmlformats.org/officeDocument/2006/relationships/theme" Target="theme/theme1.xml"/><Relationship Id="rId10" Type="http://schemas.openxmlformats.org/officeDocument/2006/relationships/hyperlink" Target="https://tapis.gov.lv/tapis/lv/downloads/121212" TargetMode="External"/><Relationship Id="rId19" Type="http://schemas.openxmlformats.org/officeDocument/2006/relationships/hyperlink" Target="https://tapis.gov.lv/tapis/lv/downloads/141681" TargetMode="External"/><Relationship Id="rId4" Type="http://schemas.openxmlformats.org/officeDocument/2006/relationships/webSettings" Target="webSettings.xml"/><Relationship Id="rId9" Type="http://schemas.openxmlformats.org/officeDocument/2006/relationships/hyperlink" Target="mailto:ogredome@ogresnovads.lv" TargetMode="External"/><Relationship Id="rId14" Type="http://schemas.openxmlformats.org/officeDocument/2006/relationships/hyperlink" Target="https://tapis.gov.lv/tapis/lv/downloads/141655"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4668</Words>
  <Characters>2661</Characters>
  <Application>Microsoft Office Word</Application>
  <DocSecurity>0</DocSecurity>
  <Lines>22</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Elīna Račko</cp:lastModifiedBy>
  <cp:revision>3</cp:revision>
  <dcterms:created xsi:type="dcterms:W3CDTF">2022-08-03T12:57:00Z</dcterms:created>
  <dcterms:modified xsi:type="dcterms:W3CDTF">2022-08-03T13:01:00Z</dcterms:modified>
</cp:coreProperties>
</file>